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german_minority_archive_impact</w:t>
      </w:r>
    </w:p>
    <w:p>
      <w:r>
        <w:t xml:space="preserve"> </w:t>
      </w:r>
    </w:p>
    <w:p>
      <w:pPr>
        <w:pStyle w:val="Heading2"/>
      </w:pPr>
      <w:r>
        <w:t>Title</w:t>
      </w:r>
    </w:p>
    <w:p>
      <w:r>
        <w:t>Mixed-methods empirical analysis of the affective, social, and personal impacts of a German minority community archive in Silesia</w:t>
      </w:r>
    </w:p>
    <w:p>
      <w:r>
        <w:t xml:space="preserve"> </w:t>
      </w:r>
    </w:p>
    <w:p>
      <w:pPr>
        <w:pStyle w:val="Heading2"/>
      </w:pPr>
      <w:r>
        <w:t>Short Hypothesis</w:t>
      </w:r>
    </w:p>
    <w:p>
      <w:r>
        <w:t>Active engagement with the German Minority Research Center archive causes higher affective attachment to German identity and greater self-reported German language use compared to non-engagement.</w:t>
      </w:r>
    </w:p>
    <w:p>
      <w:r>
        <w:t xml:space="preserve"> </w:t>
      </w:r>
    </w:p>
    <w:p>
      <w:pPr>
        <w:pStyle w:val="Heading2"/>
      </w:pPr>
      <w:r>
        <w:t>Related Work</w:t>
      </w:r>
    </w:p>
    <w:p>
      <w:r>
        <w:t>Existing work on community and independent archives examines cultural preservation, participatory curation, and social impacts using qualitative case studies and occasional surveys. Mixed-methods approaches have been used to pair oral histories with metadata or exhibit outcomes. Measurement of affect and identity in minority communities typically adapts general scales (e.g., PANAS, MEIM) but faces cross-language validity problems. Prior archival-impact studies often lack systematic affect triangulation (combining surveys, coded narratives, and linguistic markers), robust bilingual validation, machine-readable consent propagation, and explicit small-sample analytic contingencies. Limitations include reliance on convenience samples from membership lists, weak handling of measurement invariance across language/dialect groups, sparse treatment of GDPR-compliant dynamic consent in analyses, and few operationalized joint-display integration rules linking curation choices to individual-level outcomes.</w:t>
      </w:r>
    </w:p>
    <w:p>
      <w:r>
        <w:t xml:space="preserve"> </w:t>
      </w:r>
    </w:p>
    <w:p>
      <w:pPr>
        <w:pStyle w:val="Heading2"/>
      </w:pPr>
      <w:r>
        <w:t>Abstract</w:t>
      </w:r>
    </w:p>
    <w:p>
      <w:r>
        <w:t>This study measures how participation in an independent German minority community archive in Silesia affects contributors’ feelings, language use, and social ties. We apply a convergent mixed-methods design combining a bilingual survey (target N=80–150) using adapted affect and identity scales, and 30–40 purposive interviews with explicit saturation rules. Interviews are transcribed with language tags and code-switch annotations; a machine-readable rights registry records granular consent for digitization and display. Quantitative analysis uses regression and penalized models adjusted for demographics; qualitative analysis uses thematic, narrative, and conversation-analytic methods. We triangulate affect by combining PANAS scores, coded affective episodes, and automated sentiment/language markers. Contributions include a preregistered protocol for bilingual validation, an operational rights-registry linkage for analysis filters, reproducible SOPs for transcription and coding, and integrated joint displays that map curation variables to individual outcomes. Expected outcomes are empirically grounded evidence on the archive’s affective and linguistic impact and reusable methods for community-archive research.</w:t>
      </w:r>
    </w:p>
    <w:p>
      <w:r>
        <w:t xml:space="preserve"> </w:t>
      </w:r>
    </w:p>
    <w:p>
      <w:pPr>
        <w:pStyle w:val="Heading2"/>
      </w:pPr>
      <w:r>
        <w:t>Methodology</w:t>
      </w:r>
    </w:p>
    <w:p>
      <w:r>
        <w:t>1. Sampling and recruitment: recruit survey participants (target 80–150) and purposive interviewees (30–40) using archive lists, local gatekeepers, mobile interviews, and snowball seeds; track accrual by strata (age, gender, urban/rural, contributor role). 2. Survey instrument: adapt short PANAS (affect), a 6-item ethnic-identity scale, and German-use frequency items across domains; translate via forward/back-translation and committee review. 3. Translation validation: run cognitive interviews with 10–15 participants across cohorts, pilot the survey with ≈30 people, check item comprehension and internal consistency (Cronbach's α). 4. Interviews: use a semi-structured, narrative-eliciting guide; record audio; note language preference. 5. Transcription: verbatim transcripts with timecodes, language tags [DE]/[PL], code-switch type (inter/intra/tag), and paralinguistic markers (laughter, pauses). 6. Coding: build a codebook for affect, identity, social ties, and curation references; double-code initial 25% with Cohen’s kappa target ≥0.70. 7. Affect triangulation: collect PANAS pre/post, code affective episodes in transcripts, and compute automated sentiment/language markers (simple lexicon-based scores); link these three sources in joint displays. 8. Rights registry: maintain JSON-LD consent flags per item/participant (research_use, online_display, embargo_until, anonymized, quote_linking_allowed); use flags to filter outputs. 9. Quantitative analysis: handle missing data with multiple imputation, run linear/mixed-effects regressions adjusted for age, education, gender, years in region; use penalized regression (LASSO/ridge) when predictors near sample limits; report effect sizes and 95% CIs. 10. Integration: create joint displays mapping themes to mean scores and exemplar quotes; when results diverge, follow a documented reconciliation procedure for interpretation. (Technical terms: PANAS = short questionnaire measuring positive and negative feelings; Cronbach's α = measure of internal consistency of a scale; JSON-LD = a machine-readable format for linked data.)</w:t>
      </w:r>
    </w:p>
    <w:p>
      <w:r>
        <w:t xml:space="preserve"> </w:t>
      </w:r>
    </w:p>
    <w:p>
      <w:pPr>
        <w:pStyle w:val="Heading2"/>
      </w:pPr>
      <w:r>
        <w:t>Experiments</w:t>
      </w:r>
    </w:p>
    <w:p>
      <w:r>
        <w:t>1. Datasets: (a) Survey dataset of N=80–150 respondents with demographics, PANAS, identity scale, German-use frequency, social-capital items. (b) Interview corpus of 30–40 transcribed interviews with language tags and item references. (c) Rights registry mapping consent flags to interview/item IDs. 2. Baselines: (i) Non-engaged subgroup (no archive participation) vs engaged subgroup (volunteer/donor/visitor). (ii) Models without affect triangulation (PANAS only). (iii) Models ignoring consent flags. 3. Evaluation metrics: primary—difference in mean affective attachment (Cohen's d), difference in German-use frequency (regression coefficient), bridging social capital mean; secondary—Cronbach's α for scales, Cohen’s kappa for coding reliability, sentiment score correlations (Pearson r) with PANAS. Statistical thresholds: two-sided α=0.05 for primary tests; FDR correction for secondary tests. 4. Preprocessing: multiple imputation for item nonresponse (m=20), standardize continuous scales (mean=0, SD=1), encode consent flags as binary filters. 5. Models: (a) Linear regression: outcome ~ engagement + age_cohort + education + gender + years_in_region. (b) Mixed-effects model with random intercept for interviewer when interviews produce survey data. (c) Penalized regression (LASSO) when predictor count approaches sample limit. (d) Bootstrap (n=2000) for CI estimation in small samples. 6. Ablation studies: A1: Full triangulation (PANAS + coded affect + sentiment) versus PANAS-only; compare outcome effect sizes. A2: Bilingual-validated instrument versus single-language version (simulate by excluding translated items) to measure translation impact on scale properties. A3: Models with and without consent-flag filtering to test how embargo/anonymization affects available evidence. 7. Reporting: report unweighted and poststratified-weighted estimates; present joint displays linking themes to quantitative metrics; report reliability statistics and sensitivity analyses (vary assumed SD ±20%).</w:t>
      </w:r>
    </w:p>
    <w:p>
      <w:r>
        <w:t xml:space="preserve"> </w:t>
      </w:r>
    </w:p>
    <w:p>
      <w:pPr>
        <w:pStyle w:val="Heading2"/>
      </w:pPr>
      <w:r>
        <w:t>Risk Factors And Limitations</w:t>
      </w:r>
    </w:p>
    <w:p>
      <w:r>
        <w:t>1. Sampling bias: archive membership lists may not represent the broader German-minority population; poststratification may not fully correct coverage gaps. 2. Small sample power: N near lower bound (≈80) limits detection of small effects and reduces stability for multivariable models. 3. Measurement invariance: scales may not function identically across German/Polish/dialect speakers, undermining comparisons. 4. Translation and dialect variability: forward/back-translation may not capture dialectal meanings, causing item misinterpretation. 5. Interviewer effects: interviewer language skill or prior relationships may bias responses and affect coding. 6. GDPR and consent limits: withdrawals or embargoes may remove key data and reduce analyzable sample; legal constraints on cross-border data flows may limit sharing. 7. Attrition and missingness: nonresponse patterns could be nonrandom and affect estimates despite imputation. 8. Qualitative subjectivity: thematic coding is interpretive and may vary despite reliability checks. 9. Technical preservation risk: digitization or storage failures could compromise archival item access or metadata integrity. 10. External validity: findings will be specific to the Silesian German-minority archive context and may not generalize to other minority archives.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