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impact_vc_ambiguity_tactics</w:t>
      </w:r>
    </w:p>
    <w:p>
      <w:r>
        <w:t xml:space="preserve"> </w:t>
      </w:r>
    </w:p>
    <w:p>
      <w:pPr>
        <w:pStyle w:val="Heading2"/>
      </w:pPr>
      <w:r>
        <w:t>Title</w:t>
      </w:r>
    </w:p>
    <w:p>
      <w:r>
        <w:t>Operationalizing textual and ethnographic measures to estimate causal effects of impact-definition ambiguity on fundraising and portfolio outcomes</w:t>
      </w:r>
    </w:p>
    <w:p>
      <w:r>
        <w:t xml:space="preserve"> </w:t>
      </w:r>
    </w:p>
    <w:p>
      <w:pPr>
        <w:pStyle w:val="Heading2"/>
      </w:pPr>
      <w:r>
        <w:t>Short Hypothesis</w:t>
      </w:r>
    </w:p>
    <w:p>
      <w:r>
        <w:t>Higher fund-level ambiguity in impact definitions, measured as greater hedging and metric heterogeneity in fund documents, causes increased short-term fundraising amounts and shorter time-to-close.</w:t>
      </w:r>
    </w:p>
    <w:p>
      <w:r>
        <w:t xml:space="preserve"> </w:t>
      </w:r>
    </w:p>
    <w:p>
      <w:pPr>
        <w:pStyle w:val="Heading2"/>
      </w:pPr>
      <w:r>
        <w:t>Related Work</w:t>
      </w:r>
    </w:p>
    <w:p>
      <w:r>
        <w:t>Existing work documents that impact investing suffers from diverse, inconsistent impact metrics and measurement tools and that venture actors use rhetorical and contractual framing to position deals. Text-as-data studies extract organizational signals from documents but often rely on single heuristics (e.g., keyword counts) with limited validation. Ethnographic studies describe practitioner tactics but rarely translate vignettes into reproducible quantitative measures. Causal work on regulatory shocks and organizational behavior uses instruments or staggered difference-in-differences but typically assumes clean, well-measured treatments. Limitations: current approaches lack (1) a validated mixed-method pipeline linking ethnographic tactics to text-derived measures, (2) explicit measurement-error correction for noisy text scores, (3) pre-registered causal identification combining text measures with regulatory/LP instruments, and (4) beneficiary-tracing to assess downstream harms.</w:t>
      </w:r>
    </w:p>
    <w:p>
      <w:r>
        <w:t xml:space="preserve"> </w:t>
      </w:r>
    </w:p>
    <w:p>
      <w:pPr>
        <w:pStyle w:val="Heading2"/>
      </w:pPr>
      <w:r>
        <w:t>Abstract</w:t>
      </w:r>
    </w:p>
    <w:p>
      <w:r>
        <w:t>Impact venture capitalists often deploy ambiguous language and informal practices to claim social or environmental impact. This project builds a reproducible mixed-method pipeline that converts ethnographic vignettes of tactical ambiguity into validated text measures and uses quasi-experimental designs to estimate causal effects on fundraising and portfolio outcomes. We operationalize a two-tier codebook (strategy vs. tactic) and derive fund-level indicators: Ambiguity Score (hedging frequency and lexical heterogeneity), Specificity Score (numeric KPI counts), Disclosure Index, and Metric-Alignment Score (ex ante vs ex post KPI similarity). Causal identification leverages regulatory timing (SFDR exposure) and anchor-LP shocks as candidate instruments and staggered DiD as fallback. Validation uses a 20% hand-coded subsample, coder reliability targets (Cohen’s kappa ≥0.7), and simulation-based measurement-error checks. The main contribution is a defensible, pre-registrable protocol that links everyday tactical ambiguity to measurable fundraising gains, market entry patterns, and founder-level outcomes while surfacing ethical risk indicators.</w:t>
      </w:r>
    </w:p>
    <w:p>
      <w:r>
        <w:t xml:space="preserve"> </w:t>
      </w:r>
    </w:p>
    <w:p>
      <w:pPr>
        <w:pStyle w:val="Heading2"/>
      </w:pPr>
      <w:r>
        <w:t>Methodology</w:t>
      </w:r>
    </w:p>
    <w:p>
      <w:r>
        <w:t>1) Sampling and data collection: recruit 6–10 embedded funds for deep ethnography and construct a quantitative sample of ~300 funds across vintages. Collect pitch decks, LP memos, term sheets/LPAs/side letters (redacted), IMs, investment committee minutes, founder updates, and public marketing materials. 2) Two-tier codebook: Level 1 = Strategy (formal contractual items visible in LPAs/term sheets). Level 2 = Tactic (micro-practices like metric bricolage, rhetorical amphibology, temporal reframing, poaching, contractual bricolage). Provide exemplar vignettes for each tactic. 3) Text pipeline: preprocess (OCR, normalize case, remove boilerplate). Extract features: hedging lexicon counts (tokens such as "may", "aspirational", "target"), lexical heterogeneity (type-token ratio or Shannon entropy; measures how diverse language is), numeric KPI counts (regex to detect numbers + KPI keywords), and document-pair similarity (cosine or Jensen-Shannon between ex-ante KPI vector and ex-post report). Explanation: type-token ratio measures unique words / total words; cosine similarity measures angle between two numeric vectors. 4) Supervised models: train classifiers (logistic regression and a simple transformer embedding + linear layer) to predict tactic labels from TF-IDF + embeddings. Use stratified 5-fold cross-validation. 5) Validation and measurement-error handling: hand-code 20% stratified subsample; measure Cohen’s kappa and precision/recall; if text score is noisy, apply SIMEX (simulation extrapolation) to correct attenuation or use the hand-coded subset to calibrate a measurement-error model (regress true labels on noisy score and use predicted true as corrected regressor). 6) Causal identification: define SFDR exposure as fund domicile or majority-LP domicile × SFDR implementation date; define anchor-LP shocks as documented sudden entry/exit or policy change. Pre-register first-stage diagnostics (Staiger-Stock F and partial R2). Primary estimator: 2SLS with instrumented Ambiguity Score; fallback: staggered DiD (Callaway &amp; Sant’Anna) if instruments fail. 7) Ethical Harm Composite: construct weighted composite from beneficiary employment change, beneficiary revenue change, mission-drift incidents, and founder autonomy loss measured at 1, 3, 5 years. 8) Data governance: adopt tiered access, redaction templates, DSAs, and produce synthetic public datasets; aim to document DP choices (target epsilon discussed in experiments).</w:t>
      </w:r>
    </w:p>
    <w:p>
      <w:r>
        <w:t xml:space="preserve"> </w:t>
      </w:r>
    </w:p>
    <w:p>
      <w:pPr>
        <w:pStyle w:val="Heading2"/>
      </w:pPr>
      <w:r>
        <w:t>Experiments</w:t>
      </w:r>
    </w:p>
    <w:p>
      <w:r>
        <w:t>Datasets: (A) Pilot embedded sample: 6–10 funds with full artifacts and interviews; (B) Quantitative sample: target N=300 funds across vintages and ≥1,000 deals with linked founder outcomes; documents per fund: pitch decks, LP memos, LPAs/side letters, IMs, IC minutes, and public material. Baselines: (i) no ambiguity measure (only fund covariates), (ii) simple keyword hedging count, (iii) specificity-only model. Prediction evaluation (text models): precision, recall, F1, AUC; validation by stratified 5-fold CV and holdout from the 20% hand-coded sample. Target performance thresholds: precision ≥0.75 and recall ≥0.70 for automated coding to be used without human review. Causal evaluation: primary tests use 2SLS with instrumented Ambiguity Score and outcomes log(amount raised) and time-to-close (days). Report first-stage F, Kleibergen-Paap rk, partial R2. Provide weak-IV robust AR and CLR confidence intervals. Fallback tests: staggered DiD (Callaway &amp; Sant’Anna) reporting ATT and event-study coefficients. Specific experimental setups and power: assume Ambiguity standardized (SD=1), covariate R2=0.20, alpha=0.05, power=0.80. For N=300 funds, OLS MDE ≈0.145 SD (minimum detectable standardized effect). For 2SLS, MDE scales by 1/sqrt(partial R2_firststage). With partial R2=0.05, 2SLS MDE ≈0.65 SD; with partial R2=0.02, MDE ≈1.03 SD. For a staggered DiD with ~30% treated units and multiple periods, approximate MDE range ≈0.25–0.40 SD depending on pre/post periods and balance. Ablations: (A) remove ethnographic-anchored features (vignette-derived lexicon) to test contribution to measurement and causal estimates; (B) compare IV 2SLS vs staggered DiD ATT on same sample; (C) drop Specificity Score to test its role in effect estimates. Reporting: precision/recall for text measures, Cohen’s kappa for hand-coding, full first-stage diagnostics, 2SLS coefficients with robust clustered SEs, AR/CLR intervals, event-study plots, and sensitivity analyses (Rosenbaum bounds). Synthetic data: produce a synthetic release using a chosen method and report utility diagnostics (variable-wise correlations) and target DP epsilon (example targets reported: epsilon = 1 and epsilon = 2) with accompanying utility numbers.</w:t>
      </w:r>
    </w:p>
    <w:p>
      <w:r>
        <w:t xml:space="preserve"> </w:t>
      </w:r>
    </w:p>
    <w:p>
      <w:pPr>
        <w:pStyle w:val="Heading2"/>
      </w:pPr>
      <w:r>
        <w:t>Risk Factors And Limitations</w:t>
      </w:r>
    </w:p>
    <w:p>
      <w:r>
        <w:t>1) Measurement error: automated Ambiguity/Specificity scores may be noisy and cause attenuation bias; corrections may be imperfect. 2) Weak instruments: SFDR or anchor-LP shocks may produce low partial R2, yielding large MDEs and imprecise 2SLS estimates. 3) Anticipation and dynamics: funds may change language before regulatory dates, invalidating IV exclusion and complicating event-study pre-trend checks. 4) Selection bias: recruited funds (embedded sample) may not represent the broader impact VC population; LATE from IV may limit generalizability. 5) Data access and legal limits: inability to obtain LPAs/side letters or redaction constraints may reduce data quality and sample size. 6) Small effect detectability: given realistic instrument strength, the study may only detect large effects. 7) NLP failure modes: low precision/recall or domain shift across jurisdictions and fund types may reduce automated coding reliability. 8) Privacy-utility tradeoff: differential privacy or synthetic-data methods can degrade analytic utility and bias downstream estimates. 9) Resource and compute limits: transformer-based models and network analyses require nontrivial compute and storage. 10) Ethical risk: classification and publication may harm founders or funds if re-identification or negative labels occur; legal/regulatory exposure can constrain reporting.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