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consumption_populism_did</w:t>
      </w:r>
    </w:p>
    <w:p>
      <w:r>
        <w:t xml:space="preserve"> </w:t>
      </w:r>
    </w:p>
    <w:p>
      <w:pPr>
        <w:pStyle w:val="Heading2"/>
      </w:pPr>
      <w:r>
        <w:t>Title</w:t>
      </w:r>
    </w:p>
    <w:p>
      <w:r>
        <w:t>Estimating the causal effect of business leaders' populist messaging on regional consumer purchases using staggered difference-in-differences</w:t>
      </w:r>
    </w:p>
    <w:p>
      <w:r>
        <w:t xml:space="preserve"> </w:t>
      </w:r>
    </w:p>
    <w:p>
      <w:pPr>
        <w:pStyle w:val="Heading2"/>
      </w:pPr>
      <w:r>
        <w:t>Short Hypothesis</w:t>
      </w:r>
    </w:p>
    <w:p>
      <w:r>
        <w:t>Regional exposure to business leaders' populist messaging causes an increase in demand for domestically framed consumer goods in exposed regions relative to unexposed regions.</w:t>
      </w:r>
    </w:p>
    <w:p>
      <w:r>
        <w:t xml:space="preserve"> </w:t>
      </w:r>
    </w:p>
    <w:p>
      <w:pPr>
        <w:pStyle w:val="Heading2"/>
      </w:pPr>
      <w:r>
        <w:t>Related Work</w:t>
      </w:r>
    </w:p>
    <w:p>
      <w:r>
        <w:t>Existing work studies political influence on consumption, populist rhetoric, affective media, multimodal discourse analysis, and causal inference with panel data. Common empirical tools include two-way fixed effects difference-in-differences (DiD), synthetic control for single shocks, and event-study diagnostics. Computational work uses multilingual transformers for text and CLIP for image–text alignment and audio feature extraction for affect. Limitations: many studies use monolingual or text-only data, reducing coverage of regional languages and multimodal spectacle; naive DiD estimators can be biased under staggered or heterogeneous treatment timing; spillovers across regions and endogenous targeting by leaders are often unaddressed; sarcasm, irony, and cultural idioms are poorly captured by automated models; prior work rarely links measured affect as a mediator between messaging and purchases with temporally aligned causal mediation analysis. These gaps reduce reproducibility and limit causal attribution in real-world political-commercial campaigns.</w:t>
      </w:r>
    </w:p>
    <w:p>
      <w:r>
        <w:t xml:space="preserve"> </w:t>
      </w:r>
    </w:p>
    <w:p>
      <w:pPr>
        <w:pStyle w:val="Heading2"/>
      </w:pPr>
      <w:r>
        <w:t>Abstract</w:t>
      </w:r>
    </w:p>
    <w:p>
      <w:r>
        <w:t>This study measures whether and how business leaders' populist messaging shapes consumer purchases. We introduce a multimodal measurement pipeline and a staggered difference-in-differences causal design to estimate the effect of exposure to leader-driven populist campaigns on regional sales of domestically framed goods. The approach operationalizes Laclauian constructs—otherization, homogenization, hegemony—using cross-lingual lexicons, topic co-occurrence networks, and multimodal affect indicators (text, image, audio). We pair a human-coded gold standard with transformer and CLIP-based classifiers to detect empty signifiers, equivalential chains, and impossible demands. The primary causal estimator is a Callaway–Sant’Anna staggered DiD with region-clustered standard errors; synthetic control and event-study tests are backups. Main contributions are (1) a reproducible mapping from political-discursive constructs to concrete indicators, (2) demonstration of affect as an empirical mediator between messaging and consumption, and (3) pre-registered diagnostics for spillovers and heterogeneity. Expected outcome: clear, testable estimates of messaging effects and a validated multimodal measurement toolkit for consumption populism research.</w:t>
      </w:r>
    </w:p>
    <w:p>
      <w:r>
        <w:t xml:space="preserve"> </w:t>
      </w:r>
    </w:p>
    <w:p>
      <w:pPr>
        <w:pStyle w:val="Heading2"/>
      </w:pPr>
      <w:r>
        <w:t>Methodology</w:t>
      </w:r>
    </w:p>
    <w:p>
      <w:r>
        <w:t>1) Data collection: gather weekly regional scanner sales panels (SKU × store × region), public procurement notices, store audit data (price, stockouts), household survey modules, public social-media posts (Twitter/X, YouTube, Instagram), and consensual ethnographic WhatsApp artifacts. 2) Annotation seed-set: create a human-coded gold standard of labeled items (target 2,000 multilingual items + 600 WhatsApp artifacts). Use bilingual coders, double coding, third adjudicator, and aim Krippendorff's alpha ≥0.70. 3) Multimodal feature extraction: text embeddings via XLM-R or IndicBERT (multilingual transformers), image–text alignment via CLIP, audio features via librosa (tempo, pitch, amplitude). Explainers: transformers are models that turn text into numeric vectors; CLIP links images and text in the same numeric space; librosa extracts sound features like tempo. 4) Construct operationalization: (a) empty signifiers via per-language lexicons + topic modeling (tag when token appears across ≥5 semantic frames); (b) equivalential chains via topic co-occurrence networks (flag chains when two+ topics co-occur with an empty signifier in multiple messages); (c) otherization/homogenization/hegemony as binary + ordinal intensity (1–5) rules per modality. 5) Classifier training and validation: fine-tune multilingual transformers and CLIP-based image classifiers on the gold standard; evaluate precision, recall, F1, and ROC AUC. 6) Causal inference: pre-register staggered DiD using Callaway–Sant’Anna estimator (handles different treatment timing), include covariates (pre-trend sales, GDP per capita, urbanization, retailer density, media penetration), cluster standard errors by region, and run event-study diagnostics. Use synthetic control for single-region shocks as backup. 7) Mediation analysis: align timestamps (message → affect metric → sales) and run causal mediation with panel fixed effects or sequential g-estimation to estimate the indirect effect of measured affect. 8) Fairness and audits: run subgroup error analyses by region, gender, and proxy caste/religion measures and report error rates and confidence intervals.</w:t>
      </w:r>
    </w:p>
    <w:p>
      <w:r>
        <w:t xml:space="preserve"> </w:t>
      </w:r>
    </w:p>
    <w:p>
      <w:pPr>
        <w:pStyle w:val="Heading2"/>
      </w:pPr>
      <w:r>
        <w:t>Experiments</w:t>
      </w:r>
    </w:p>
    <w:p>
      <w:r>
        <w:t>Datasets: (1) Regional scanner panel: weekly SKU-level sales across 50–200 regions with ≥24 weeks pre-treatment; (2) Social-media corpus: public posts and videos from identified leader accounts and campaign hashtags; (3) Procurement notices and retailer listing panels; (4) Gold-standard annotated seed-set (2,600 items multilingual multimodal); (5) Household survey and store audit pilots. Baselines: (A) naive two-way fixed effects DiD estimator; (B) Callaway–Sant’Anna staggered DiD (primary); (C) Sun &amp; Abraham event-study estimator; (D) synthetic control for single-region exposures. Evaluation metrics: causal: Average Treatment effect on Treated (ATT) with 95% CI, p-values, clustered SEs, event-study lead/lag coefficients; classifier: precision, recall, F1, ROC AUC by language and modality; mediation: indirect effect estimate, proportion mediated, bootstrap CIs. Experimental setup: pre-specify event windows (primary −12 to +24 weeks; robustness −24 to +52 weeks); require ≥24 weeks pre-period. Train classifiers with 80/20 train/test split stratified by language and modality; report held-out metrics. Run placebo tests: random pseudo-treatment dates and untreated categories. Cluster standard errors at the region level and apply multiple hypothesis corrections for subgroup tests. Ablations and comparisons: 1) Compare ATT from naive two-way FE DiD to Callaway–Sant’Anna to quantify bias from staggered timing. 2) Ablation removing affect mediator from models to measure mediation contribution. 3) Ablation removing CLIP image features to test multimodal value. 4) Sensitivity analysis varying empty signifier threshold (≥5 frames vs ≥3) and classifier confidence thresholds (0.80 vs 0.70). Report all results with pre-registered specification table.</w:t>
      </w:r>
    </w:p>
    <w:p>
      <w:r>
        <w:t xml:space="preserve"> </w:t>
      </w:r>
    </w:p>
    <w:p>
      <w:pPr>
        <w:pStyle w:val="Heading2"/>
      </w:pPr>
      <w:r>
        <w:t>Risk Factors And Limitations</w:t>
      </w:r>
    </w:p>
    <w:p>
      <w:r>
        <w:t>1) Measurement error: automated classifiers may mislabel sarcasm, irony, or cultural idioms, reducing validity of constructs. 2) Cross-lingual coverage: some languages and dialects may be underrepresented in models and lexicons. 3) Annotation bias: human coders bring cultural interpretation that may vary across annotators. 4) Spillovers and interference: messaging can cross regional boundaries, violating no-interference assumptions (SUTVA) and biasing DiD estimates. 5) Endogenous targeting: leaders may target regions already trending toward domestic consumption, causing selection bias. 6) Sample size and clustering: limited number of independent regions or low variation in treatment timing reduces power; serial correlation increases design effect. 7) Data access and ethics: legal or consent constraints may restrict WhatsApp or platform data availability, reducing multimodal coverage. 8) Computational cost: multimodal models (transformers, CLIP) require substantial compute and storage. 9) Generalization limits: findings from a single case study (e.g., specific leader or cultural context) may not generalize to other countries, sectors, or political movements. 10) Potential misuse: results and analytic tools could be used for political targeting or surveillance in harmful ways.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