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ai_disclosure_authentic_assess</w:t>
      </w:r>
    </w:p>
    <w:p>
      <w:r>
        <w:t xml:space="preserve"> </w:t>
      </w:r>
    </w:p>
    <w:p>
      <w:pPr>
        <w:pStyle w:val="Heading2"/>
      </w:pPr>
      <w:r>
        <w:t>Title</w:t>
      </w:r>
    </w:p>
    <w:p>
      <w:r>
        <w:t>A mixed-methods case study evaluating how authentic, data-based online assessments and clear guidance affect student nondisclosure of generative AI use</w:t>
      </w:r>
    </w:p>
    <w:p>
      <w:r>
        <w:t xml:space="preserve"> </w:t>
      </w:r>
    </w:p>
    <w:p>
      <w:pPr>
        <w:pStyle w:val="Heading2"/>
      </w:pPr>
      <w:r>
        <w:t>Short Hypothesis</w:t>
      </w:r>
    </w:p>
    <w:p>
      <w:r>
        <w:t>Implementing authentic, data-based online assessments together with explicit guidance reduces the rate of student nondisclosure of generative AI use compared to conventional assessment formats that rely on detection tools.</w:t>
      </w:r>
    </w:p>
    <w:p>
      <w:r>
        <w:t xml:space="preserve"> </w:t>
      </w:r>
    </w:p>
    <w:p>
      <w:pPr>
        <w:pStyle w:val="Heading2"/>
      </w:pPr>
      <w:r>
        <w:t>Related Work</w:t>
      </w:r>
    </w:p>
    <w:p>
      <w:r>
        <w:t>Existing approaches split into two streams: (1) detection-focused technical methods that use linguistic classifiers or watermarking to flag AI-generated text, and (2) assessment- and policy-focused strategies that redesign tasks, provide guidance, and promote academic integrity. Detection methods show predictive performance on curated benchmarks but are brittle across genres, languages, paraphrase attacks, and human edits, and they raise fairness and privacy concerns. Policy and authentic-assessment work emphasizes task design to reduce cheating opportunities and to surface student process, but empirical evidence on how these designs change actual AI use and disclosure behavior is limited. Combined approaches (detection plus pedagogy) are rare and often lack transparent validation, multilingual anchors, and documented non-punitive governance. Open gaps include metric stability across languages and adversaries, how disclosure decisions relate to ethics and perceived risk, and operational rules for human review that preserve non-punitive commitments.</w:t>
      </w:r>
    </w:p>
    <w:p>
      <w:r>
        <w:t xml:space="preserve"> </w:t>
      </w:r>
    </w:p>
    <w:p>
      <w:pPr>
        <w:pStyle w:val="Heading2"/>
      </w:pPr>
      <w:r>
        <w:t>Abstract</w:t>
      </w:r>
    </w:p>
    <w:p>
      <w:r>
        <w:t>We study how students use and hide generative AI in online assessments and whether authentic, data-based task design with clear guidance reduces undisclosed AI use. We propose a mixed-methods pilot combining opt-in capture of draft histories and interaction traces (timestamps, paste/typing ratios), self-report surveys, think-aloud interviews, and a delayed-transfer task. We operationalize an origin taxonomy (human-only, AI-generated, AI-assisted, human-edited-AI, mixed) and validate multi-feature decision rules that combine token-level edit percentage, semantic similarity (how meaning changes), language-model surprisal (a measure of how predictable text is), and interaction signals. Main contributions are: (1) an empirically calibrated multi-feature measurement pipeline with uncertainty estimates, (2) evidence on how authentic assessment designs and guidance affect disclosure behavior, and (3) documented governance and equity checks for international students. Expected outcomes are validated thresholds and feature sets for labeling AI involvement, measured nondisclosure rates under different task designs, and recommendations for assessment policy that favor authentic tasks over punitive detection.</w:t>
      </w:r>
    </w:p>
    <w:p>
      <w:r>
        <w:t xml:space="preserve"> </w:t>
      </w:r>
    </w:p>
    <w:p>
      <w:pPr>
        <w:pStyle w:val="Heading2"/>
      </w:pPr>
      <w:r>
        <w:t>Methodology</w:t>
      </w:r>
    </w:p>
    <w:p>
      <w:r>
        <w:t>1) Taxonomy and coding rules: use the predefined origin labels (human-only; AI-generated; AI-assisted; human-edited-AI; mixed) and disclosure types (full, partial, post-hoc, nondisclosure). 2) Instrumentation and consent: deploy an opt-in capture system that records timestamped draft versions, paste/typing aggregates (ratio of pasted content to typed content), and edited diffs; store data pseudonymized. 3) Feature extraction: compute token-level edit percentage (how many tokens changed), semantic similarity between drafts (use sentence embeddings; similarity is the cosine distance, a number between -1 and 1 measuring closeness), language-model surprisal/perplexity (a measure of how likely text is under an LM; lower perplexity = more predictable), stylometric features (function-word rates, sentence length), and interaction metrics (edits per minute, paste events). 4) Calibration study: create ground-truth cases (human-only, AI-only, hybrid, seeded adversarial edits, paraphrases) and run a labeled calibration (n≈30–40) to map token-change and other features to origin labels and to collect failure examples. 5) Classifier and calibration: train an interpretable classifier that outputs calibrated probabilities (Platt scaling or isotonic calibration) combining features. 6) Coder workflow: double-code 25% of items, compute Cohen’s kappa, and adjudicate disagreements with a three-person panel; update anchors. 7) Pilot and experimental manipulations: run a stratified pilot (N≈90; 45 international, 45 domestic) with two assessment conditions: authentic, data-based tasks with explicit guidance vs conventional tasks. 8) Behavioral measures: collect self-report of AI use, disclosure statements, think-aloud transcripts, and a delayed-transfer task after 2–3 weeks. 9) Analysis: compare trace/self-report concordance, compute classifier AUC and calibration, disaggregate performance by language status, and report uncertainty and feature importance (simple explanations of top features per case).</w:t>
      </w:r>
    </w:p>
    <w:p>
      <w:r>
        <w:t xml:space="preserve"> </w:t>
      </w:r>
    </w:p>
    <w:p>
      <w:pPr>
        <w:pStyle w:val="Heading2"/>
      </w:pPr>
      <w:r>
        <w:t>Experiments</w:t>
      </w:r>
    </w:p>
    <w:p>
      <w:r>
        <w:t>Datasets: (A) Calibration set: n=30–40 labeled ground-truth draft histories including adversarial variants; (B) Pilot collection: N=90 student submissions stratified 45 international / 45 domestic across 3 disciplines; (C) Synthetic benchmark: generated hybrid cases for reproducibility. Baselines: (1) token-edit% threshold classifier alone; (2) perplexity-only classifier; (3) human coders (single-code) baseline; (4) multi-feature calibrated classifier (proposed). Evaluation metrics: nondisclosure rate (trace vs self-report discordance), Cohen’s kappa for interrater reliability, AUC (area under ROC), precision@k, recall, false positive rate (FPR) disaggregated by subgroup, Brier score (calibration), and transfer-task performance (score difference). Experimental setup: run calibration study first to estimate feature distributions and ROC thresholds; train classifiers on calibration plus synthetic augmentation; calibrate probabilities (Platt/isotonic). Pilot: randomly assign participants to two assessment conditions (authentic/data-based with guidance vs conventional) and collect traces, self-reports, and delayed-transfer results. Coding: double-code 25% randomly selected cases; adjudicate disagreements. Ablation studies: (i) remove semantic-similarity feature, (ii) remove interaction features (paste/typing), (iii) use token-edit% only. Compare AUC, calibration, and subgroup FPR gaps across ablations. Threshold decision test: simulate expected weekly human-review workload by applying candidate thresholds (P&gt;=0.75 triggers review) on pilot distribution and report projected flagged counts. Statistical tests: bootstrap 95% CIs for rates, chi-square test for nondisclosure differences between conditions, DeLong test for AUC comparisons, and permutation tests for subgroup FPR gap significance.</w:t>
      </w:r>
    </w:p>
    <w:p>
      <w:r>
        <w:t xml:space="preserve"> </w:t>
      </w:r>
    </w:p>
    <w:p>
      <w:pPr>
        <w:pStyle w:val="Heading2"/>
      </w:pPr>
      <w:r>
        <w:t>Risk Factors And Limitations</w:t>
      </w:r>
    </w:p>
    <w:p>
      <w:r>
        <w:t>1) Technical failure: adversarial paraphrase or targeted human edits can hide AI-origin text, causing false negatives; token-edit% is a blunt measure. 2) Small calibration sample: n≈30–40 may not stabilize ROC thresholds across languages or adversaries, reducing threshold reliability. 3) Multilingual variation: features and classifier performance may differ by language proficiency and genre, harming fairness. 4) False positives: incorrectly flagging student work as AI-origin risks reputational harm even with non-punitive protocols. 5) Low opt-in rates: participants may decline trace capture, producing biased samples and limiting generalizability. 6) Privacy and legal constraints: screen/keystroke capture and LMS linkage can trigger IRB, GDPR, or institutional restrictions that limit data collection. 7) Compute/scale limits: feature extraction (embeddings, perplexity) is compute intensive and may not scale cheaply beyond pilot size. 8) Generalization limits: results from the pilot and specific disciplines may not transfer to other institutions, assessment types, or rapidly evolving AI models. 9) Measurement error: self-report and think-aloud data are subject to social desirability bias and post-hoc rationalization, complicating concordance measures.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