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ethical_review_ssh_se</w:t>
      </w:r>
    </w:p>
    <w:p>
      <w:r>
        <w:t xml:space="preserve"> </w:t>
      </w:r>
    </w:p>
    <w:p>
      <w:pPr>
        <w:pStyle w:val="Heading2"/>
      </w:pPr>
      <w:r>
        <w:t>Title</w:t>
      </w:r>
    </w:p>
    <w:p>
      <w:r>
        <w:t>Qualitative group-interview study of Swedish social science and humanities researchers' experiences with ethical review systems and reform preferences</w:t>
      </w:r>
    </w:p>
    <w:p>
      <w:r>
        <w:t xml:space="preserve"> </w:t>
      </w:r>
    </w:p>
    <w:p>
      <w:pPr>
        <w:pStyle w:val="Heading2"/>
      </w:pPr>
      <w:r>
        <w:t>Short Hypothesis</w:t>
      </w:r>
    </w:p>
    <w:p>
      <w:r>
        <w:t>Burden from current ethical review procedures causes Swedish social science and humanities researchers to modify or avoid specific research methods (e.g., ethnography, archival research, creative practice) more frequently than researchers who report lower procedural burden.</w:t>
      </w:r>
    </w:p>
    <w:p>
      <w:r>
        <w:t xml:space="preserve"> </w:t>
      </w:r>
    </w:p>
    <w:p>
      <w:pPr>
        <w:pStyle w:val="Heading2"/>
      </w:pPr>
      <w:r>
        <w:t>Related Work</w:t>
      </w:r>
    </w:p>
    <w:p>
      <w:r>
        <w:t>Existing work documents that ethical review systems developed for biomedical research often clash with social science and humanities (SSH) practices, producing perceived benefits (structured oversight, participant protection) and harms (bureaucratic delay, method alteration). Several jurisdictions have adopted proportionate review pathways, discipline-specific guidance, and expedited tracks, but these measures are variably implemented and rarely evaluated in SSH contexts. Prior studies are limited by small or single-discipline samples, biomedical-centric templates, scarce operational detail on anonymization/GDPR for small communities, and weak triangulation with REC decision records. Common unresolved issues include how to measure saturation or information power in group-based SSH studies, how to integrate individual and group interview data analytically, how to operationalize proportionate review criteria for creative or digital methods, and practical protocols to avoid re-identification in tight research communities.</w:t>
      </w:r>
    </w:p>
    <w:p>
      <w:r>
        <w:t xml:space="preserve"> </w:t>
      </w:r>
    </w:p>
    <w:p>
      <w:pPr>
        <w:pStyle w:val="Heading2"/>
      </w:pPr>
      <w:r>
        <w:t>Abstract</w:t>
      </w:r>
    </w:p>
    <w:p>
      <w:r>
        <w:t>This study investigates whether and how current ethical review procedures influence the design and conduct of social science and humanities (SSH) research in Sweden. Using semi-structured group interviews with Swedish SSH researchers and optional follow-up individual and key-informant interviews, we collect qualitative data on researchers' lived experiences of review processes, specific methodological impacts, and reform suggestions. We apply a hybrid deductive–inductive coding workflow, inter-coder reliability checks, and a predefined stopping-rule algorithm that tracks new inductive codes and thematic depth. The main contribution is an operationalized, reproducible framework linking perceived procedural burden to concrete methodological changes, plus evidence-based, discipline-aware recommendations for proportionate review pathways, anonymization templates, and reviewer rosters. Expected outcomes include quantified rates of self-reported method alteration, validated stopping-rule procedures, and policy-oriented guidance that can inform Etikprövningsmyndigheten and university RECs while preserving participant privacy under GDPR.</w:t>
      </w:r>
    </w:p>
    <w:p>
      <w:r>
        <w:t xml:space="preserve"> </w:t>
      </w:r>
    </w:p>
    <w:p>
      <w:pPr>
        <w:pStyle w:val="Heading2"/>
      </w:pPr>
      <w:r>
        <w:t>Methodology</w:t>
      </w:r>
    </w:p>
    <w:p>
      <w:r>
        <w:t>1) Sampling and recruitment: recruit core sample of seven group interviews (target 4 participants per group; target N core = 28) with discipline/method/career-stage quotas. Optionally extend by up to +8 groups, +15 individual interviews, +10 key informants triggered by stopping-rule monitoring. 2) Data collection: run semi-structured group interviews (90–120 minutes) using a facilitator manual, two short vignettes, and a 5‑item ranking exercise. Record audio; moderators follow a legal-duty decision tree for sensitive disclosures. 3) Transcription and translation: produce verbatim transcripts with timestamps and speaker turns; non-Swedish audio transcribed by native speakers and back-translated for publishable quotes. Maintain two transcript tiers: restricted analysis version and further-redacted archival version. 4) Anonymization and GDPR: apply a two-tier anonymization decision tree (pseudonymize immediately, redact direct/indirect identifiers for archival copy) and keep an anonymization log. DPIA is completed before deposit. 5) Coding: develop hybrid deductive–inductive codebook v0, run calibration workshop, double-code 20–30% of transcripts. Use NVivo/ATLAS.ti for coding. Explain: deductive codes are pre-defined themes; inductive codes arise from data. 6) Stopping-rule: compute NewCodes per transcript, use a rolling 3-group window and proportion-new metric; stop if proportion-new &lt; 0.05 and memos show no new thematic depth. 7) Analysis and triangulation: produce framework matrices, count-based indicators (code frequency, code co-occurrence), qualitative memos, and integrate group, individual, and key-informant data via a unified codebook or linked crosswalk. 8) Member-checking: send anonymized thematic summary and candidate quotes for participant review with two-week feedback window.</w:t>
      </w:r>
    </w:p>
    <w:p>
      <w:r>
        <w:t xml:space="preserve"> </w:t>
      </w:r>
    </w:p>
    <w:p>
      <w:pPr>
        <w:pStyle w:val="Heading2"/>
      </w:pPr>
      <w:r>
        <w:t>Experiments</w:t>
      </w:r>
    </w:p>
    <w:p>
      <w:r>
        <w:t>Datasets: primary dataset = verbatim transcripts from seven core group interviews (target N=28); optional extended datasets = transcripts from up to +8 groups, +15 individual interviews, +10 REC/key-informant interviews; ancillary dataset = redacted REC decision excerpts and anonymized timeline data where available. Baselines: compare across participant subgroups defined by perceived procedural burden tertiles (low/medium/high) and by discipline clusters (social sciences, humanities, interdisciplinary). Additional baseline: compare outcomes using only group interviews versus group+individual data. Evaluation metrics: (a) proportion_reporting_method_change = fraction of participants who report altering or avoiding methods; (b) inter_coder_agreement = Krippendorff's alpha for coded segments; (c) proportion_new = rolling-window new-inductive-code proportion used in stopping rule; (d) thematic_depth_score = averaged 1–5 coder rating of theme richness per transcript (explained below); (e) code_cooccurrence_index = normalized co-occurrence counts between method-impact and reform codes; (f) time_to_REC_action if REC timelines available (days). Experimental setup: 1) Preprocess transcripts, apply codebook v0, run calibration and double-coding on 20–30% of transcripts, compute Krippendorff's alpha. 2) Test hypothesis: compute proportion_reporting_method_change in high vs low burden groups and run Chi-square test; model association with logistic regression controlling for career stage and discipline. 3) Saturation/Stopping ablation: run analysis using (A) only proportion_new &lt;0.05 rule and (B) mixed-metric rule combining proportion_new &lt;0.05 AND median thematic_depth_score plateau (no increase &gt;0.2 across three windows). Compare resulting number of themes, novel-theme counts, and code_cooccurrence_index between A and B. 4) Integration ablation: run coding with (i) unified codebook for all data types and (ii) separate codebooks with a crosswalk; compare inter_coder_agreement and consistency of top-10 themes. 5) Report quantitative tests (Chi-square, logistic regression coefficients, p-values), Krippendorff's alpha, and descriptive theme matrices. Thematic_depth_score: two independent coders rate each new theme in a transcript on a 1–5 scale for depth (1 = superficial mention, 5 = rich, multifaceted account).</w:t>
      </w:r>
    </w:p>
    <w:p>
      <w:r>
        <w:t xml:space="preserve"> </w:t>
      </w:r>
    </w:p>
    <w:p>
      <w:pPr>
        <w:pStyle w:val="Heading2"/>
      </w:pPr>
      <w:r>
        <w:t>Risk Factors And Limitations</w:t>
      </w:r>
    </w:p>
    <w:p>
      <w:r>
        <w:t>1) Self-report bias and social desirability: participants may under- or over-report method alteration. 2) Small and non-random sample: results may not generalize beyond Swedish SSH researchers or may under-represent niche fields. 3) Re-identification risk: small disciplinary communities increase risk of identifying participants even after redaction. 4) Coding subjectivity: thematic interpretation depends on coder judgments; inter-coder agreement may remain low for complex codes. 5) Stopping-rule sensitivity: reliance on counts of new inductive codes can misrepresent thematic richness or produce premature stopping. 6) Data access limitations: redacted REC decisions or institutional refusals may limit triangulation. 7) Translation/transcription delays and costs: non-Swedish interviews add time and budget pressure. 8) Limited statistical power: quantitative tests (e.g., chi-square, regression) may be underpowered given sample sizes. 9) GDPR/legal constraints: legal requirements may restrict publication of illustrative cases or require additional redaction, limiting transparency. 10) Scalability: intensive manual coding and member-checking procedures limit scalability to larger multi-country samples.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