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scat_rec_comments_japan</w:t>
      </w:r>
    </w:p>
    <w:p>
      <w:r>
        <w:t xml:space="preserve"> </w:t>
      </w:r>
    </w:p>
    <w:p>
      <w:pPr>
        <w:pStyle w:val="Heading2"/>
      </w:pPr>
      <w:r>
        <w:t>Title</w:t>
      </w:r>
    </w:p>
    <w:p>
      <w:r>
        <w:t>SCAT-based qualitative analysis of research ethics committee review comments to identify salient ethical considerations in non-medical research in Japan</w:t>
      </w:r>
    </w:p>
    <w:p>
      <w:r>
        <w:t xml:space="preserve"> </w:t>
      </w:r>
    </w:p>
    <w:p>
      <w:pPr>
        <w:pStyle w:val="Heading2"/>
      </w:pPr>
      <w:r>
        <w:t>Short Hypothesis</w:t>
      </w:r>
    </w:p>
    <w:p>
      <w:r>
        <w:t>Using a structured SCAT coding protocol with added sociocultural and participant-centered modules increases the number of reliably identified high-level ethical themes per 100 REC comments compared to an unstructured thematic review.</w:t>
      </w:r>
    </w:p>
    <w:p>
      <w:r>
        <w:t xml:space="preserve"> </w:t>
      </w:r>
    </w:p>
    <w:p>
      <w:pPr>
        <w:pStyle w:val="Heading2"/>
      </w:pPr>
      <w:r>
        <w:t>Related Work</w:t>
      </w:r>
    </w:p>
    <w:p>
      <w:r>
        <w:t>Existing approaches to analyzing ethics-committee texts use thematic analysis, content analysis, grounded theory, or automated topic models. These methods have identified topic clusters and common reviewer concerns but show limitations: many studies focus on medical research rather than non-medical REC comments; codebooks are often underspecified so auditability is weak; intercoder reliability targets are low or unreported; language and translation issues are seldom addressed for non-English corpora; privacy/anonymization steps are described inconsistently and rarely validated with re-identification tests; sociocultural norms and interpersonal discourse in committee comments are rarely coded systematically; and governance of sealed context notes or privileged coder annotations is typically missing. Automated methods (e.g., topic models) capture broad topics but miss nuanced ethical judgments and tone. Overall, prior work lacks a reproducible, privacy-validated protocol combining rigorous SCAT coding, sociocultural tagging, and APPI-aware anonymization.</w:t>
      </w:r>
    </w:p>
    <w:p>
      <w:r>
        <w:t xml:space="preserve"> </w:t>
      </w:r>
    </w:p>
    <w:p>
      <w:pPr>
        <w:pStyle w:val="Heading2"/>
      </w:pPr>
      <w:r>
        <w:t>Abstract</w:t>
      </w:r>
    </w:p>
    <w:p>
      <w:r>
        <w:t>Non-medical research in Japan is reviewed by institutional research ethics committees (RECs), but we lack reproducible knowledge about how reviewers raise ethical concerns in committee comments. This study applies the SCAT (Steps for Coding and Theorization) qualitative method to a stratified corpus of REC review comments to map how ethical review is conducted and which concerns are salient for non-medical research. The approach combines a formal SCAT codebook with a sociocultural module, participant-centered codes, calibrated intercoder reliability targets, and demonstrable anonymization tests (including seeded re-identification and k-anonymity). Main contributions are: (1) an auditable, levelled SCAT code hierarchy for REC comments; (2) operational procedures for anonymization, sealed coder notes governance, and translation/back-translation; and (3) empirical evaluation comparing structured SCAT coding to unstructured thematic review and automated topic baselines. Expected outcomes include a validated codebook, reproducible procedures for privacy-safe analysis under APPI, and evidence on how sociocultural features shape ethical decisions in non-medical REC reviews.</w:t>
      </w:r>
    </w:p>
    <w:p>
      <w:r>
        <w:t xml:space="preserve"> </w:t>
      </w:r>
    </w:p>
    <w:p>
      <w:pPr>
        <w:pStyle w:val="Heading2"/>
      </w:pPr>
      <w:r>
        <w:t>Methodology</w:t>
      </w:r>
    </w:p>
    <w:p>
      <w:r>
        <w:t>1. Sampling: assemble a stratified corpus of 400 REC comment items across four years, with quotas by discipline (social sciences, humanities, engineering, education), study design (survey, interview, observational, secondary data), and outcome (conditional approval, major revision, rejection). Start with a 50-item pilot drawn across strata. 2. Redaction and anonymization: at-source remove direct identifiers (names, emails), project titles/IDs, unit names, and precise dates. Replace removed elements with neutral tokens such as [DISCIPLINE], [ROLE:senior researcher], or [REL_TIME:+6 months]. 3. Irreversibility tests: run seeded re-identification attempts on a 5% random sample plus 5 known seeds and compute k-anonymity for quasi-identifiers (k is the smallest group size with identical quasi-identifier values). 4. SCAT codebook creation: build a three-level hierarchy (L1 high-level ethical domain, L2 subthemes, L3 fine-grained action/phrase codes). Include inclusion/exclusion rules and worked examples for each code. SCAT steps: (a) pick key words/phrases, (b) paraphrase meaning, (c) identify concepts, (d) synthesize themes. 5. Sociocultural and participant-centered modules: add fields for tone, politeness strategies, power markers, and clarity/readability of participant materials. 6. Translation and language handling: use professional translation and back-translation for non-Japanese coders; preserve honorific nuances by including original Japanese tokens and a translator note. 7. Coder training and calibration: run three calibration rounds on 30–40 items, compute Krippendorff’s alpha for each module (alpha measures agreement; &gt;0.80 target, ≥0.70 minimum). 8. Sealed notes governance: store context-critical notes in an access-restricted sealed folder; log open requests and require senior adjudicator plus DPO approval to open. 9. Data governance: require DPO sign-off before copying, RBAC controls, encrypted storage, and deletion certificates following institutional standards.</w:t>
      </w:r>
    </w:p>
    <w:p>
      <w:r>
        <w:t xml:space="preserve"> </w:t>
      </w:r>
    </w:p>
    <w:p>
      <w:pPr>
        <w:pStyle w:val="Heading2"/>
      </w:pPr>
      <w:r>
        <w:t>Experiments</w:t>
      </w:r>
    </w:p>
    <w:p>
      <w:r>
        <w:t>Dataset: primary corpus of 400 REC comment items (50-item pilot then 350 full sample) stratified by discipline, study-design, and outcome. Baselines: (A) unstructured thematic review by expert analysts using ad-hoc codes; (B) automated topic model baseline (e.g., LDA) trained on same corpus; (C) SCAT without sociocultural or participant-centered modules. Metrics: (1) number of high-level themes discovered per 100 items; (2) Krippendorff’s alpha per module (content, sociocultural); (3) saturation point in added batches (passes until no new high-level themes); (4) re-identification success rate from seeded tests (% of seeds re-identified); (5) time per item for coding (minutes); (6) inter-method agreement (Adjusted Rand Index or normalized mutual information between code assignments). Experimental setup: run pilot (50 items) to produce initial codebook and exemplars. Perform 3 calibration rounds on 30–40 reliability items and compute alpha after each round. Full coding proceeds in batches of 40 items; after each batch compute new-theme count and update saturation log. Statistical comparisons: compare SCAT vs unstructured thematic baseline on themes-per-100 using bootstrap confidence intervals and two-sided permutation tests; compare SCAT vs automated topic model on theme overlap using normalized mutual information. Ablation studies: (1) remove sociocultural module and compare number of detected sociocultural themes and alpha; (2) disable sealed notes and measure change in coding time and theme count; (3) vary k threshold for anonymization (k=3,5,10) and report re-id success and number of items suppressed. Acceptance thresholds: alpha ≥0.80 preferred, ≥0.70 minimum; re-id success rate &lt;1% considered acceptable.</w:t>
      </w:r>
    </w:p>
    <w:p>
      <w:r>
        <w:t xml:space="preserve"> </w:t>
      </w:r>
    </w:p>
    <w:p>
      <w:pPr>
        <w:pStyle w:val="Heading2"/>
      </w:pPr>
      <w:r>
        <w:t>Risk Factors And Limitations</w:t>
      </w:r>
    </w:p>
    <w:p>
      <w:r>
        <w:t>1. Technical failure modes: low intercoder agreement (alpha &lt;0.70) despite calibration, making theme claims unreliable. 2. Data bias: sampling quotas may not reflect the true underlying distribution of REC comments, causing over- or under-representation of some concerns. 3. Language/translation loss: back-translation may not preserve Japanese honorific subtleties, leading to semantic drift. 4. Privacy limits: anonymization may remove contextual cues needed for accurate coding, reducing analytic validity. 5. Re-identification test gaps: seeded tests may not model real attacker capabilities, underestimating risk. 6. Scalability: manual SCAT coding is time-consuming and may not scale to larger corpora without large coder teams. 7. Generalization: findings from one Japanese university’s REC comments may not generalize to other institutions or countries. 8. Legal/regulatory changes: changes in APPI interpretation or institutional policy could invalidate aspects of the governance protocol. 9. Ethical constraints: sealed notes governance may limit reproducibility if essential context remains inaccessible. 10. Computational limits: automated baselines (topic models) may perform poorly on short, formal review comments, limiting fair comparisons.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