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risk_homogeneity_systemic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Text-mining measurement of corporate risk-perception homogeneity and its causal effect on systemic financial risk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Higher sector-level homogeneity in firms' risk perceptions, measured from risk-factor disclosures, causally increases systemic financial risk metrics (e.g., CoVaR, SRISK) within the following year.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work extracts firm risk signals from disclosures using simple sentiment scores, dictionary counts, or unsupervised topic models and evaluates links to firm-level risk or asset returns. Systemic-risk research uses market-based measures (CoVaR, SRISK), network contagion models, and holdings overlap to quantify interconnectedness. Identification studies exploit disclosure-regime changes or shift-share instruments to isolate exogenous variation. Limitations: many text-based studies use coarse single-dimension measures (positive/negative) and ignore measurement error from NLP; topic outputs are rarely validated or propagated into causal inference; causal work using shift-share instruments often omits explicit exclusion tests and leave-one-out constructions; network analyses seldom integrate text-derived perception uncertainty. Overall, prior work does not jointly (1) measure perception homogeneity robustly from disclosure text, (2) propagate NLP uncertainty into econometric IV and event-study designs, nor (3) link perception homogeneity to network-driven systemic risk in a pre-registered, reproducible pipeline.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study whether similarity in firms' stated risk perceptions increases systemic financial risk. We extract firm-level risk-topic intensity vectors from mandatory English risk-factor disclosures using supervised span extraction and topic-intensity models, quantify sector-level homogeneity as a weighted cosine-similarity measure, and test causal effects on systemic risk outcomes using panel fixed effects and pre-registered instruments (staggered disclosure-regime adoption and commodity shift-share). Main contributions are (1) a validated pipeline that maps disclosure text into uncertainty-aware risk vectors and multiple-imputation draws, (2) measurement-error correction (SIMEX and hierarchical Bayesian) that propagates NLP uncertainty into IV estimation, and (3) integration of estimated perception shocks into network contagion ensembles to produce distributional systemic-risk effects. Expected outcome: credible estimates of the causal impact of perception homogeneity on systemic risk and reproducible tools that quantify how collective corporate language can amplify or dampen financial-system fragility.</w:t>
      </w:r>
    </w:p>
    <w:p>
      <w:r>
        <w:t xml:space="preserve"> </w:t>
      </w:r>
    </w:p>
    <w:p>
      <w:pPr>
        <w:pStyle w:val="Heading2"/>
      </w:pPr>
      <w:r>
        <w:t>Methodology</w:t>
      </w:r>
    </w:p>
    <w:p>
      <w:r>
        <w:t>1) Data ingestion: collect English 10-K and 20-F risk-factor sections (2015-2024) and link firms to Compustat/CRSP identifiers and market-cap. 2) Annotation: create gold-standard spans and labels for risk mentions, hierarchical categories (systemic, market, credit, liquidity, operational, legal, climate, etc.), temporal horizon, mitigation statements, and ordinal intensity 0–4. 3) NLP extraction: fine-tune transformer models (FinBERT/LegalBERT) for span extraction and multi-label classification; also train supervised topic-intensity models that output per-document topic intensity vectors. Explain: a transformer is a modern neural model for text; topic-intensity vector is a numeric list of how strongly each risk topic appears in a document. 4) Homogeneity metric: normalize firm topic vectors and compute market-cap weighted mean pairwise cosine similarity within sector×quarter. Explain: cosine similarity measures angle between vectors; it equals 1 when direction identical, 0 when orthogonal. 5) Zero-mention rule: predefine thresholding and imputation: if a document has no identified risk spans, mark as zero vector and flag for alternative similarity computations (e.g., Jaccard on topic presence or add small epsilon before normalization). 6) Uncertainty: generate M=50 multiple-imputation draws per document using model ensembles and MC-dropout; keep predictive probabilities for each component. 7) Measurement-error correction: run SIMEX with λ ∈ {0.5,1.0,1.5,2.0} and in parallel estimate a hierarchical Bayesian measurement-error model with group-level time-varying error terms (random effects) to capture correlated error across firms. 8) Identification: construct leave-one-out shift-share instrument (exogenous commodity price shocks × pre-period firm commodity exposure) orthogonalized to market PCs, and staggered disclosure-regime adoption dates for event-study. 9) Econometrics: estimate panel FE and IV specifications Y_{i,t}=α_i+γ_t+β Homog_{s,t}+X'δ+ε, run Sun–Abraham and Callaway–Sant’Anna estimators for staggered adoption, report first-stage F and overidentification tests. 10) Network mapping: estimate Δrisk→behavior mapping (mixed-logit for discrete actions, Tobit for magnitudes) on validation events (8-K asset sales, FR Y-9C where available) and inject sampled actions into multilayer contagion ensembles (holdings overlap, funding links, price-impact fire sales). 11) Propagation: run ensembles across imputed draws and measurement-error corrected homogeneity inputs to produce distributional systemic-risk outputs.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(1) SEC EDGAR 10-K/20-F risk sections (2015–2024, English); (2) Compustat/CRSP firm fundamentals and market-cap; (3) CDS spreads, TRACE corporate trades, 13F holdings, and FR Y-9C/Y-14 if accessible; (4) macro controls (VIX, GDP). Baselines: A) sentiment-only risk score (dictionary-based), B) unsupervised LDA topic intensities, C) supervised transformer without uncertainty propagation or SIMEX. Evaluation metrics: NLP—span precision/recall/F1, category macro-F1, ICC for intensity, Brier score for calibration; Econometrics—first-stage F-stat, Kleibergen-Paap rk, IV β estimates with clustered SE, overidentification Hansen J, lead/placebo test p-values; Network—tail expected system shortfall, DebtRank, fraction defaulted, mean and 95% quantiles of loss distribution. Experimental setup: stratified train/val/test splits by sector and year; tune topic k in {20,40,60} by cross-validation; generate M=50 imputations for uncertainty. Primary tests: 1) OLS FE vs IV (shift-share and disclosure-regime) with SIMEX-corrected homogeneity; 2) Event-study with Sun–Abraham and Callaway–Sant’Anna on disclosure shock cohorts. Ablation studies: (a) remove SIMEX/Bayesian correction to measure attenuation; (b) replace market-cap weights with equal weights; (c) treat zero-mention docs by exclusion vs imputation to test sensitivity. Power and sample: target sample ~2,000 firms × 10 years; report minimum detectable effect (MDE) for IV under assumed first-stage partial R2 and F&gt;10. Pre-specified falsifications: shuffled-text placebo, outcomes unrelated to financial stress, and sector placebo tests.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1) Exclusion restriction risk: shift-share instrument may affect system risk through channels other than firm exposures (violating IV assumptions). 2) Correlated, non-classical measurement error: shared language, templates, or time trends may induce cross-firm correlated errors that violate SIMEX assumptions. 3) Sparse text / zero mentions: many filings may have few or no explicit risk spans, biasing similarity metrics. 4) Data access limits: proprietary exposure datasets (FR Y-9C, DTCC) may be unavailable or delayed, forcing proxy usage that weakens causal claims. 5) Annotation noise: limited annotator agreement can reduce NLP accuracy and increase measurement error. 6) Computational cost: transformer training, multiple imputation (M=50), and ensemble network simulations require significant GPU/CPU and storage resources. 7) External validity: mappings from Δrisk to real-world behavior estimated on observed events (8-K, FR Y-9C) may not generalize across firms or regimes. 8) Model misspecification: network contagion parameters and price-impact functions are uncertain, so simulation outcomes depend on calibration choices. 9) Multiple testing: many event-study cohorts and network scenarios increase false-positive risk if not adjusted. 10) Identification power: IV first-stage weakness could yield imprecise or biased causal estimates if instruments are weak.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