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repair_initiation_ghana_esl</w:t>
      </w:r>
    </w:p>
    <w:p>
      <w:r>
        <w:t xml:space="preserve"> </w:t>
      </w:r>
    </w:p>
    <w:p>
      <w:pPr>
        <w:pStyle w:val="Heading2"/>
      </w:pPr>
      <w:r>
        <w:t>Title</w:t>
      </w:r>
    </w:p>
    <w:p>
      <w:r>
        <w:t>A conversation-analytic study of repair initiation as a mechanism for resolving communication breakdowns in Ghanaian ESL classrooms</w:t>
      </w:r>
    </w:p>
    <w:p>
      <w:r>
        <w:t xml:space="preserve"> </w:t>
      </w:r>
    </w:p>
    <w:p>
      <w:pPr>
        <w:pStyle w:val="Heading2"/>
      </w:pPr>
      <w:r>
        <w:t>Short Hypothesis</w:t>
      </w:r>
    </w:p>
    <w:p>
      <w:r>
        <w:t>Other-initiated repair that includes multimodal signals (speaker-directed gaze or pointing) causes a higher probability of successful resolution of comprehension troubles than verbal-only other-initiated repair.</w:t>
      </w:r>
    </w:p>
    <w:p>
      <w:r>
        <w:t xml:space="preserve"> </w:t>
      </w:r>
    </w:p>
    <w:p>
      <w:pPr>
        <w:pStyle w:val="Heading2"/>
      </w:pPr>
      <w:r>
        <w:t>Related Work</w:t>
      </w:r>
    </w:p>
    <w:p>
      <w:r>
        <w:t>Prior work in conversation analysis has examined repair initiation as a sequential mechanism for fixing hearing, speaking, and understanding problems in interaction. Classroom interaction studies have shown teachers and peers use repair to manage learning, and multimodal CA research highlights the role of gaze, gesture, and body alignment in coordinating turns and signaling trouble. Second-language classroom research documents code-switching and teacher scaffolding during repair sequences. Limitations in existing approaches include: a focus on verbal turns with limited systematic multimodal alignment (gaze/gesture timing rarely coded relative to turn boundaries); few large or well-documented corpora from West African ESL classrooms; inconsistent operational definitions for temporal windows of repair initiation and for what counts as the same trouble in multi-party settings; and scarce objective validation of anonymization techniques that preserve prosody and embodied cues. These gaps make it hard to generalize findings about how multimodal repair practices affect repair success in Ghanaian ESL classrooms.</w:t>
      </w:r>
    </w:p>
    <w:p>
      <w:r>
        <w:t xml:space="preserve"> </w:t>
      </w:r>
    </w:p>
    <w:p>
      <w:pPr>
        <w:pStyle w:val="Heading2"/>
      </w:pPr>
      <w:r>
        <w:t>Abstract</w:t>
      </w:r>
    </w:p>
    <w:p>
      <w:r>
        <w:t>This study examines how repair initiation resolves communication breakdowns in Ghanaian English-as-a-second-language (ESL) classrooms using a conversation-analytic, multimodal approach. We analyze a 52-hour corpus of classroom audio-video to test whether other-initiated repair that combines verbal prompts with multimodal signals (gaze, pointing, gesture) is more effective at resolving comprehension troubles than verbal-only repair. The approach uses Jeffersonian turn-by-turn transcription synchronized with multimodal tiers (gaze, gesture, posture) in ELAN, a coded decision rule set for repair types and trouble sources, and calibration rounds to ensure reliability. Main contributions are: a unified operationalization of repair timing and "same-trouble" counting rules for multiparty classroom interaction; an annotated multimodal exemplar set and living glossary of Ghanaian repair tokens; and an anonymization validation protocol that preserves analytic prosody and gesture. Expected outcomes include quantified relationships between multimodal repair resources and repair outcomes, a reproducible multimodal dataset for CA, and teacher-facing materials illustrating multimodal repair cues for classroom practice.</w:t>
      </w:r>
    </w:p>
    <w:p>
      <w:r>
        <w:t xml:space="preserve"> </w:t>
      </w:r>
    </w:p>
    <w:p>
      <w:pPr>
        <w:pStyle w:val="Heading2"/>
      </w:pPr>
      <w:r>
        <w:t>Methodology</w:t>
      </w:r>
    </w:p>
    <w:p>
      <w:r>
        <w:t>1) Corpus preparation: Use the existing 52 hours of classroom audio-video. Create preservation masters (WAV 48 kHz/24-bit and MP4) and working copies. Produce a metadata manifest with school code, urban/rural, level, subject, class size, seating, microphone layout, language policy, and lesson stage.</w:t>
        <w:br/>
        <w:br/>
        <w:t>2) Transcription and multimodal alignment: Coarse-pass flagging to find candidate repair events (~1–2 hours per recorded hour). For flagged segments, produce Jeffersonian-style transcripts (verbatim turn text, timing, overlap markers) and add multimodal tiers in ELAN for gaze, gesture type, gesture onset/offset, body orientation, and prosodic notes (lengthening, stress). Jeffersonian transcription: a CA convention that marks timing, pauses, overlap and intonation in fine detail. ELAN: a tool for time-aligned audio-video annotation.</w:t>
        <w:br/>
        <w:br/>
        <w:t>3) Operational definitions: Adopt a unified OIR temporal window of 0–1.0 seconds after the trouble-source turn end for classifying immediate other-initiated repairs. Pre-register sensitivity checks at 0.5s and 1.5s. Define "same trouble" as repair attempts addressing the same lexical or propositional slot, adjudicated with multimodal cues and sequence context; count choral responses and teacher re-voicings according to explicit rules (examples included in codebook).</w:t>
        <w:br/>
        <w:br/>
        <w:t>4) Coding and calibration: Create a codebook with key codes: repair type (open/restricted/self), trouble source (hearing/formulation/comprehension), initiator role (teacher/peer/student), outcome (successful/unsuccessful), publicness (whole-class/semi-public/private), and code-switch token tags. Run a 30-minute stratified calibration packet (10 excerpts × ~3 min) across coders. Compute Cohen's kappa, Krippendorff's alpha, and Gwet's AC1; aim for κ ≥ .75 and α ≥ .80 for key codes.</w:t>
        <w:br/>
        <w:br/>
        <w:t>5) Multimodal measures: Mark presence/absence and precise onset timing of gaze-to-speaker and pointing within the 0–1.0s window. Mark if gesture precedes, coincides with, or follows verbal repair. Prosodic measures: note lengthening, pitch reset, and overlap. Explain terms: pitch = perceived high/low of voice; prosody = rhythm and intonation patterns.</w:t>
        <w:br/>
        <w:br/>
        <w:t>6) Anonymization validation: Produce two derivatives: analysis-grade working copies (light noise reduction only) and dissemination clips (face-blur + minimal voice transform preserving F0 contour). Validate anonymization with objective acoustic checks (compare F0 contour, duration, spectral envelope pre/post) and blinded listener tests with Ghanaian-fluent raters to confirm intelligibility and preserved prosody. Document all transformations.</w:t>
        <w:br/>
        <w:br/>
        <w:t>7) Deliverables: Versioned codebook, living glossary of Ghanaian repair tokens, 20 annotated exemplar excerpts with multimodal ELAN files, anonymization pilot report, and teacher-facing guide with exemplar clips.</w:t>
      </w:r>
    </w:p>
    <w:p>
      <w:r>
        <w:t xml:space="preserve"> </w:t>
      </w:r>
    </w:p>
    <w:p>
      <w:pPr>
        <w:pStyle w:val="Heading2"/>
      </w:pPr>
      <w:r>
        <w:t>Experiments</w:t>
      </w:r>
    </w:p>
    <w:p>
      <w:r>
        <w:t>Dataset: 52 hours of Ghanaian ESL classroom recordings; coarse-flagged repair events and a final annotated set of repair instances. Create a balanced sample across strata: 3 urban primary, 3 urban secondary, 3 rural primary, 3 rural secondary; aim for ≥10 comparable repair instances per stratum where possible.</w:t>
        <w:br/>
        <w:br/>
        <w:t>Baselines: (A) verbal-only other-initiated repair events (no recorded gaze/pointing) and (B) multimodal other-initiated repair events (verbal + gaze or pointing). Secondary baselines: teacher-initiated vs peer-initiated repairs; open vs restricted OIR.</w:t>
        <w:br/>
        <w:br/>
        <w:t>Primary outcome metric: repair success (binary): defined as recipient uptake or resolution within two subsequent turns. Secondary metrics: time-to-resolution in seconds, number of subsequent repair attempts for the same trouble, and proportion of repairs leading to task-appropriate response.</w:t>
        <w:br/>
        <w:br/>
        <w:t>Inter-rater reliability: Cohen's κ and Krippendorff's α on key codes after calibration rounds. Anonymization validation metrics: acoustic: change in mean F0 contour correlation (Pearson r) pre/post anonymization, relative duration change (%), spectral envelope distance (e.g., Mel-cepstral distance). Perceptual: percent correct transcription by blinded Ghanaian raters and subjective prosody-preservation rating (Likert scale).</w:t>
        <w:br/>
        <w:br/>
        <w:t>Statistical analysis: mixed-effects logistic regression predicting repair success with fixed effects: multimodal presence (yes/no), initiator role, repair type (open/restricted), trouble source; random intercepts for class and session. Report odds ratios, 95% CI, and p-values. Use bootstrapped CIs if distributions non-normal.</w:t>
        <w:br/>
        <w:br/>
        <w:t>Ablation study: remove gaze coding from multimodal condition to compare full multimodal vs gesture-only vs verbal-only. Compare models with likelihood-ratio tests.</w:t>
        <w:br/>
        <w:br/>
        <w:t>Power/feasibility check: estimate average OIR incidence per hour from pilot segments (report expected mean ± SD). If any stratum has &lt;10 instances, restrict distributional claims to strata meeting threshold and rely on qualitative exemplars for others.</w:t>
        <w:br/>
        <w:br/>
        <w:t>Reproducibility artifacts: share ELAN files for annotated exemplars, codebook version, anonymization scripts, and model code for statistical tests under controlled access rules.</w:t>
        <w:br/>
        <w:br/>
        <w:t>Evaluation protocol: pre-register OIR window (0–1.0s) and sensitivity checks; pre-register primary outcome and main model. Run all analyses with fixed seeds and report all tests performed.</w:t>
      </w:r>
    </w:p>
    <w:p>
      <w:r>
        <w:t xml:space="preserve"> </w:t>
      </w:r>
    </w:p>
    <w:p>
      <w:pPr>
        <w:pStyle w:val="Heading2"/>
      </w:pPr>
      <w:r>
        <w:t>Risk Factors And Limitations</w:t>
      </w:r>
    </w:p>
    <w:p>
      <w:r>
        <w:t>1) Data capture fidelity: poor audio/video quality or misaligned cameras may prevent reliable coding of gaze and subtle gestures. 2) Transcription workload: detailed Jeffersonian multimodal transcription is time-consuming (8–12 person-hours per recorded hour) and may limit coverage; resource constraints could bias selection of exemplars. 3) Annotation ambiguity: disagreements about language boundaries, code-switch tokens, or whether a repair addresses the same trouble may reduce reliability and slow analysis. 4) Observer effects: recordings may alter teacher or student behavior; limited sessions per class may not show habituation. 5) Sampling limits: 52 hours may not yield ≥10 comparable instances per stratum for all repair types, constraining distributional claims. 6) Anonymization trade-offs: transformations that protect identity may degrade acoustic or visual cues needed for CA, affecting analyses. 7) Generalization: findings from Ghanaian classrooms may not generalize to other cultural or institutional contexts. 8) Statistical power: low counts in some cells (e.g., peer-initiated multimodal repairs in rural primary) can limit inferential tests. 9) Ethical and access constraints: strict privacy controls may prevent sharing raw masters for verification. 10) Technical validation risks: objective acoustic metrics or listener tests may be noisy or biased by raters' familiarity, affecting acceptance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