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military_boards_audit_em_pk</w:t>
      </w:r>
    </w:p>
    <w:p>
      <w:r>
        <w:t xml:space="preserve"> </w:t>
      </w:r>
    </w:p>
    <w:p>
      <w:pPr>
        <w:pStyle w:val="Heading2"/>
      </w:pPr>
      <w:r>
        <w:t>Title</w:t>
      </w:r>
    </w:p>
    <w:p>
      <w:r>
        <w:t>Panel fixed-effects and instrumental-variable analysis of military experience on boards and audit quality effects on earnings management in Pakistani non-financial firms</w:t>
      </w:r>
    </w:p>
    <w:p>
      <w:r>
        <w:t xml:space="preserve"> </w:t>
      </w:r>
    </w:p>
    <w:p>
      <w:pPr>
        <w:pStyle w:val="Heading2"/>
      </w:pPr>
      <w:r>
        <w:t>Short Hypothesis</w:t>
      </w:r>
    </w:p>
    <w:p>
      <w:r>
        <w:t>Appointment of military-experienced directors to corporate boards causes a decline in firm-level modified-Jones discretionary accruals, and this decline is larger when the firm is audited by a Big Four auditor.</w:t>
      </w:r>
    </w:p>
    <w:p>
      <w:r>
        <w:t xml:space="preserve"> </w:t>
      </w:r>
    </w:p>
    <w:p>
      <w:pPr>
        <w:pStyle w:val="Heading2"/>
      </w:pPr>
      <w:r>
        <w:t>Related Work</w:t>
      </w:r>
    </w:p>
    <w:p>
      <w:r>
        <w:t>Prior studies link board composition and director backgrounds to earnings management using cross-sectional and panel regressions, and some emerging-market work reports that military-experienced directors associate with better audit quality and lower earnings manipulation. Common methods include fixed-effects panels, propensity-score matching, and simple IVs or distance instruments. Limitations in existing approaches are persistent endogeneity of board appointments and auditor choice, weak or poorly justified instruments, limited attention to real earnings management (production, cash flow, discretionary expenses), misclassification of director backgrounds, and scarce robustness to measurement error. Few studies jointly assess accrual and real EM with a pre-registered primary outcome, rigorous coder reliability, entropy balancing for overlap, and weak-instrument-robust inference. The moderator role of audit quality is often proxied narrowly, and effort-vs-capture tests for auditors are typically underdeveloped.</w:t>
      </w:r>
    </w:p>
    <w:p>
      <w:r>
        <w:t xml:space="preserve"> </w:t>
      </w:r>
    </w:p>
    <w:p>
      <w:pPr>
        <w:pStyle w:val="Heading2"/>
      </w:pPr>
      <w:r>
        <w:t>Abstract</w:t>
      </w:r>
    </w:p>
    <w:p>
      <w:r>
        <w:t>This study examines whether military experience on corporate boards reduces earnings management in non-financial firms listed on the Pakistan Stock Exchange (2010–2022), and whether high audit quality strengthens any reduction. We pre-register one primary accrual outcome (modified-Jones discretionary accruals) and one primary real-EM aggregate. We assemble firm-year panels from annual reports, PSX filings, and institutional sources, and implement a firm and year fixed-effects baseline with entropy balancing on pre-treatment covariates to improve overlap. For causal leverage we pursue instrumental-variable estimates using local supply instruments (distance to cantonments/academies and municipal retired-officer density), require first-stage strength, and report weak-instrument-robust CIs when needed. We correct for misclassification with SIMEX, require coder reliability, and triangulate audit quality using Big Four, residual audit fees, and specialization. Expected contributions are clearer causal evidence on the effects of military directors on accrual and real EM, validated IV strategies for supply-side appointment shocks, and explicit tests separating auditor effort from potential capture.</w:t>
      </w:r>
    </w:p>
    <w:p>
      <w:r>
        <w:t xml:space="preserve"> </w:t>
      </w:r>
    </w:p>
    <w:p>
      <w:pPr>
        <w:pStyle w:val="Heading2"/>
      </w:pPr>
      <w:r>
        <w:t>Methodology</w:t>
      </w:r>
    </w:p>
    <w:p>
      <w:r>
        <w:t>1) Data and coding: build a firm-year panel of all non-financial PSX firms (2010–2022). Extract board rosters and auditor info from annual reports and PSX filings. Code MIL_DUMMY (1 if any director has verified military service) and MIL_PROP (proportion of military directors). Require documentary provenance for each flag and double-code at least 10% of records to report Cohen’s kappa. 2) Primary measures: compute modified-Jones discretionary accruals (DA) as the primary accrual EM measure; compute Roychowdhury real-EM components (abnormal CFO, abnormal production, abnormal discretionary expenses) and combine into an aggregate signed real-EM score as the primary real outcome. Winsorize at 1%/99% and scale by lagged total assets. 3) Audit quality: primary proxy = Big Four dummy. Robustness proxies = auditor industry-specialist dummy, auditor tenure, auditor-change dummy, and residual audit fees from a audit-fee pricing model (fees on size, risk, complexity). 4) Baseline estimator: firm and year fixed-effects panel with pre-estimation entropy balancing on pre-treatment covariates; require standardized mean differences &lt;0.10. 5) Identification: (a) within-firm FE as primary associational design; (b) event-study/DID for appointment windows using estimators robust to staggered adoption (Callaway &amp; Sant’Anna or Sun &amp; Abraham); (c) IV strategy using distance to nearest cantonment/academy and municipal retired-officer density as supply-side instruments, conditioning on municipal FE and local covariates. For IV require first-stage F&gt;10; if weaker report Anderson-Rubin/Kleibergen-Paap CIs. 6) Misclassification and sensitivity: apply SIMEX to adjust for MIL misclassification, run Oster/AET and Rosenbaum bounding analyses. 7) Inference: cluster standard errors at firm level, use wild-cluster bootstrap when clusters are few, and adjust multiple testing for secondary outcomes with Benjamini-Hochberg.</w:t>
      </w:r>
    </w:p>
    <w:p>
      <w:r>
        <w:t xml:space="preserve"> </w:t>
      </w:r>
    </w:p>
    <w:p>
      <w:pPr>
        <w:pStyle w:val="Heading2"/>
      </w:pPr>
      <w:r>
        <w:t>Experiments</w:t>
      </w:r>
    </w:p>
    <w:p>
      <w:r>
        <w:t>Dataset: All non-financial firms listed on Pakistan Stock Exchange, 2010–2022. Sources: PSX filings, audited annual reports, SECP registries, cantonment/academy location lists, and municipal retiree data where available. Baselines: (A) Fixed-effects baseline: DA_it = alpha_i + lambda_t + beta MIL_it + gamma X_it + eps_it with entropy-balanced covariates; (B) Interaction baseline: add AUDQ_it (Big Four) and MIL×AUDQ interaction; (C) IV: two-stage least squares using (distance to cantonment, retiree density) as instruments for MIL_it; report first-stage F, partial R2, and AR/KP CIs if weak. Event-study: implement staggered-adoption robust estimators (Callaway &amp; Sant’Anna or Sun &amp; Abraham) around first verified military appointment. Evaluation metrics: point estimates and standard errors, cluster-robust p-values, adjusted p-values (Benjamini-Hochberg), first-stage F-stat, partial R2, Cohen’s kappa for coding reliability, and minimum detectable effect (MDE) in DA SD units. Baseline sample sizes: expected several hundred firm-years; report MDE table under clustered SEs and ICC assumptions (e.g. DA SD≈0.10, ICC scenarios 0.01–0.10). Ablation studies: (1) remove entropy balancing and compare estimates; (2) replace primary audit proxy (Big Four) with residual audit fees and specialization; (3) omit winsorization and respecify scaling (scale by sales vs assets); (4) SIMEX-adjusted vs raw MIL to assess attenuation. Additional diagnostics: placebo regressions on pre-appointment ROA, CAPEX, hiring and sales growth at t−2,t−1; overidentification and municipal-level falsification regressions linking instruments to municipal government contracting and SOE concentration.</w:t>
      </w:r>
    </w:p>
    <w:p>
      <w:r>
        <w:t xml:space="preserve"> </w:t>
      </w:r>
    </w:p>
    <w:p>
      <w:pPr>
        <w:pStyle w:val="Heading2"/>
      </w:pPr>
      <w:r>
        <w:t>Risk Factors And Limitations</w:t>
      </w:r>
    </w:p>
    <w:p>
      <w:r>
        <w:t>1) Instrument validity: instruments may correlate with local economic conditions or government contracting, threatening exclusion. 2) Data gaps: municipal retired-officer density may be unavailable or restricted; audit-fee data may be missing for some years. 3) Misclassification: incomplete or ambiguous biographical records can bias MIL coding despite double-coding. 4) Endogeneity of auditors: auditor location instruments may proxy for local development, complicating auditor IV interpretation. 5) Limited power: if treated firms or appointment events are rare, estimates may be imprecise; clustering reduces effective sample size. 6) External validity: findings pertain to Pakistan’s institutional setting and may not generalize to other countries. 7) Measurement choices: results can vary with scaling, winsorization, and EM model selection. 8) Small-cluster inference: few clusters can invalidate standard SEs and require bootstrap methods that still have limitations. 9) Mechanism ambiguity: separating monitoring, conservatism, and network channels may remain partially indirect and rely on proxy measures.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