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saudi_teachers_21cs_integration</w:t>
      </w:r>
    </w:p>
    <w:p>
      <w:r>
        <w:t xml:space="preserve"> </w:t>
      </w:r>
    </w:p>
    <w:p>
      <w:pPr>
        <w:pStyle w:val="Heading2"/>
      </w:pPr>
      <w:r>
        <w:t>Title</w:t>
      </w:r>
    </w:p>
    <w:p>
      <w:r>
        <w:t>A sequential exploratory mixed-methods study of English and mathematics teachers' integration of 21st century skills and barriers in Saudi Arabian classrooms</w:t>
      </w:r>
    </w:p>
    <w:p>
      <w:r>
        <w:t xml:space="preserve"> </w:t>
      </w:r>
    </w:p>
    <w:p>
      <w:pPr>
        <w:pStyle w:val="Heading2"/>
      </w:pPr>
      <w:r>
        <w:t>Short Hypothesis</w:t>
      </w:r>
    </w:p>
    <w:p>
      <w:r>
        <w:t>Lower alignment of school assessment to high-stakes exams and higher school leadership support cause greater observable integration of creativity, collaboration, critical thinking, and communication by English and mathematics teachers.</w:t>
      </w:r>
    </w:p>
    <w:p>
      <w:r>
        <w:t xml:space="preserve"> </w:t>
      </w:r>
    </w:p>
    <w:p>
      <w:pPr>
        <w:pStyle w:val="Heading2"/>
      </w:pPr>
      <w:r>
        <w:t>Related Work</w:t>
      </w:r>
    </w:p>
    <w:p>
      <w:r>
        <w:t>Prior work on teachers' integration of 21st century skills uses mainly self-report surveys or small qualitative studies. Existing approaches often rely on teacher questionnaires that overestimate practice due to social desirability and lack observational verification. Mixed-methods studies have shown useful insights but typically lack validated bilingual instruments, rigorous translation protocols, and formal linking between interview exemplars and psychometrically tested survey items. Classroom observation studies exist but are limited by inconsistent coding rules, small reliability samples, and limited triangulation with artifacts or student reports. Psychometric work on skill scales often ignores clustering by school and treats Likert items as continuous rather than ordinal, reducing inferential validity. Overall limitations include bias from self-report, weak cross-language validity, insufficient power and sampling for multilevel analysis, and incomplete operationalization of barrier sources at classroom, school, and policy levels.</w:t>
      </w:r>
    </w:p>
    <w:p>
      <w:r>
        <w:t xml:space="preserve"> </w:t>
      </w:r>
    </w:p>
    <w:p>
      <w:pPr>
        <w:pStyle w:val="Heading2"/>
      </w:pPr>
      <w:r>
        <w:t>Abstract</w:t>
      </w:r>
    </w:p>
    <w:p>
      <w:r>
        <w:t>This study examines how English and mathematics teachers in Saudi Arabia integrate four core 21st century skills—creativity, collaboration, critical thinking, and communication—and identifies major barriers to that integration. We use a sequential exploratory mixed-methods design starting with bilingual semi-structured interviews and classroom observations to generate behaviorally specific items and observable indicators. These qualitative outputs inform a teacher survey that is psychometrically evaluated with exploratory and confirmatory factor analysis and linked to coded classroom observations, student short surveys, and artifacts for triangulation. Main contributions are: a validated bilingual item bank for the four skills, an observation rubric with reliability targets, and a multilevel analytic plan that separates classroom, school, and policy barrier sources. Expected outcomes are clear estimates of observed skill integration, tested measurement instruments suitable for Arabic and English contexts, and evidence on which school- and policy-level barriers most strongly affect practice. This produces actionable, reproducible measures for research and policy in Saudi classrooms.</w:t>
      </w:r>
    </w:p>
    <w:p>
      <w:r>
        <w:t xml:space="preserve"> </w:t>
      </w:r>
    </w:p>
    <w:p>
      <w:pPr>
        <w:pStyle w:val="Heading2"/>
      </w:pPr>
      <w:r>
        <w:t>Methodology</w:t>
      </w:r>
    </w:p>
    <w:p>
      <w:r>
        <w:t>1) Qualitative phase: Draft a bilingual (Arabic/English) semi-structured interview guide that asks teachers to describe one recent lesson where they intentionally taught each target skill and one constrained example. Follow committee translation: two independent forward translators, reconciliation meeting, blind back-translation by a third translator, and expert committee review. Conduct purposive interviews with 12–20 teachers using quotas by subject (50/50 English/math), gender, school type, region, experience, and grade band. Conduct classroom observations for the same teachers when possible and collect lesson artifacts and brief student questionnaires. Use cognitive probes (8–12 teachers balanced by language) to test item comprehension.</w:t>
        <w:br/>
        <w:br/>
        <w:t>2) Instrument development: Code interview exemplars to produce a behaviorally worded item bank (5 items per skill). Map each item to 1–2 observable indicators and global anchors (0–3). Prepare an event-based checklist (timestamped events), duration metrics for sustained activities (&gt;30 seconds), and end-of-lesson global ratings with behavior anchors.</w:t>
        <w:br/>
        <w:br/>
        <w:t>3) Piloting and reliability: Pilot observation coding on 6–10 annotated video clips. Train coders 2–3 days, require certification with IRR thresholds (Cohen's kappa for events, ICC for durations/globals &gt;= .70). Double-code 20–25% of live observations. Pilot teacher survey n=50–100.</w:t>
        <w:br/>
        <w:br/>
        <w:t>4) Psychometrics: Treat survey items as ordinal. Use exploratory factor analysis (EFA) with polychoric correlations and parallel analysis (retain loadings &gt;= .40). Use confirmatory factor analysis (CFA) with WLSMV (weighted least squares mean and variance adjusted) for ordinal data. Compute McDonald's omega for reliability. Test measurement invariance across language, subject, and gender sequentially (configural → metric → scalar).</w:t>
        <w:br/>
        <w:br/>
        <w:t>5) Triangulation and barriers: Code barriers at three levels: classroom (task design, language mismatch, time), school (PD, leadership support, resources), and policy (curriculum/exam alignment). For each barrier record presence (0/1), perceived impact (0–3), and evidence source (observation, teacher report, artifact). Link observation-derived teacher indicators to survey scores by aggregating events and durations to teacher-level metrics (see Experiments for rules).</w:t>
        <w:br/>
        <w:br/>
        <w:t>6) Analysis: Use multilevel models (teachers nested in schools) with random intercepts to test predictors of observed integration. Treat social-desirability as covariate. Use cluster-robust SEs where necessary, and multiple imputation or FIML for missing data. Pre-register decision rules for item retention and analytic thresholds.</w:t>
      </w:r>
    </w:p>
    <w:p>
      <w:r>
        <w:t xml:space="preserve"> </w:t>
      </w:r>
    </w:p>
    <w:p>
      <w:pPr>
        <w:pStyle w:val="Heading2"/>
      </w:pPr>
      <w:r>
        <w:t>Experiments</w:t>
      </w:r>
    </w:p>
    <w:p>
      <w:r>
        <w:t>Datasets: (A) Qualitative interviews n=12–20 teachers and transcripts; (B) Classroom observations of 60–150 lessons across 30–50 schools (aim avg 4–6 teachers/school); (C) Teacher survey pilot n=50–100, EFA sample n&gt;=200, CFA/validation sample n&gt;=300; (D) Short student surveys matched to observed lessons (&gt;=3 students per observed class), and collected artifacts per observed lesson.</w:t>
        <w:br/>
        <w:br/>
        <w:t>Baselines: (1) self-report-only model (teacher survey only without observations); (2) observation-only model (coded behaviors aggregated without survey); (3) survey with no social-desirability correction.</w:t>
        <w:br/>
        <w:br/>
        <w:t>Evaluation metrics: - Measurement: McDonald’s omega (&gt;= .70 desired), CFA fit indices: CFI, TLI (&gt;= .90 accept, &gt;= .95 preferred), RMSEA (&lt;= .08 accept, &lt;= .06 preferred), SRMR; polychoric-based factor loadings &gt;= .40. - Reliability: Cohen’s kappa for event codes (&gt;= .70), ICC for durations and global ratings (&gt;= .70). - Multilevel analysis: Intraclass correlation (ICC_school) reported; fixed-effect estimates and standard errors; effect size expressed as standardized beta and Cohen's d equivalent. - Triangulation: Pearson/polychoric correlations and cross-tabulations between survey scales and aggregated observation measures; agreement statistics for binary barrier presence.</w:t>
        <w:br/>
        <w:br/>
        <w:t>Aggregation and scoring rules (predefined): - Event counts: compute rate per 30-minute lesson (events per 30 min). - Duration: proportion of lesson time engaged in target activity (minutes/total minutes). - Global ratings: average of end-of-lesson 0–3 scores across visits. - Teacher-level indicator: standardized z-score combining normalized event rate, duration proportion, and global rating with equal weights, then averaged across observed lessons for each teacher. Document normalization method.</w:t>
        <w:br/>
        <w:br/>
        <w:t>Power and multilevel simulation: Simulate multilevel power with ICC_school = 0.05 and teacher-level effect r = 0.25; with 40 schools and 5 teachers/school (N=200) power ≈ 0.80 to detect teacher-level associations; simulate alternative ICCs (.02, .10) and sample sizes to produce a table of detectable effects. Use Monte Carlo simulation with 1000 replications.</w:t>
        <w:br/>
        <w:br/>
        <w:t>Analyses and comparisons: - Primary test: multilevel regression predicting aggregated teacher-level indicator (dependent) from school-level barriers (exam alignment, leadership support) and teacher covariates; test hypothesis by coefficient sign and p&lt;.05. - Compare baseline models: self-report-only vs combined survey+observation: report change in explained variance (ΔR2) and predictive accuracy via cross-validation. - Ablation 1: remove social-desirability items and compare bias in teacher self-report by correlation with observations. - Ablation 2: remove language-coding (no code-switch info) and measure change in model fit and effect estimates. - Sensitivity: repeat analyses using cluster-robust SEs and Bayesian multilevel estimation.</w:t>
        <w:br/>
        <w:br/>
        <w:t>Pre-registered decision rules: retain survey items with CVI pass, clear cognitive probing, and loading &gt;= .40 in EFA; stop item removal if fewer than three items remain per construct.</w:t>
      </w:r>
    </w:p>
    <w:p>
      <w:r>
        <w:t xml:space="preserve"> </w:t>
      </w:r>
    </w:p>
    <w:p>
      <w:pPr>
        <w:pStyle w:val="Heading2"/>
      </w:pPr>
      <w:r>
        <w:t>Risk Factors And Limitations</w:t>
      </w:r>
    </w:p>
    <w:p>
      <w:r>
        <w:t>1) Administrative delays: MoE approvals may delay public-school access, reducing sample diversity. 2) Social-desirability bias: teacher self-reports may overstate practice; list experiments may be infeasible in this context. 3) Observer reactivity: teachers may change practice when observed, biasing observation data. 4) Translation and code-switching: subtle meaning loss across languages may reduce validity; code-switching complicates measurement. 5) Measurement overlap: the four skills are conceptually related and may show cross-loadings, limiting discriminant validity. 6) Sampling and generalization: purposive and quota sampling limits statistical generalizability outside sampled provinces or school types. 7) Missing data and clustering: low response rates within schools or uneven clusters reduce power for multilevel tests. 8) Reliability scaling: achieving IRR thresholds requires sufficient pilot time and coder training; resource constraints may limit this. 9) Artifact identifiability: student artifacts may contain identifiable information, raising ethics and storage risks. 10) Computational limits: WLSMV and Monte Carlo simulations require moderate compute but are feasible; large-scale Bayesian multilevel models increase compute and may slow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