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reproducing_inequality_socialcapital_digital_literacy_ses</w:t>
      </w:r>
    </w:p>
    <w:p>
      <w:r>
        <w:t xml:space="preserve"> </w:t>
      </w:r>
    </w:p>
    <w:p>
      <w:pPr>
        <w:pStyle w:val="Heading2"/>
      </w:pPr>
      <w:r>
        <w:t>Title</w:t>
      </w:r>
    </w:p>
    <w:p>
      <w:r>
        <w:t>Regression and causal mediation analysis of how social capital, digital literacy, and socioeconomic status affect access to higher education in China</w:t>
      </w:r>
    </w:p>
    <w:p>
      <w:r>
        <w:t xml:space="preserve"> </w:t>
      </w:r>
    </w:p>
    <w:p>
      <w:pPr>
        <w:pStyle w:val="Heading2"/>
      </w:pPr>
      <w:r>
        <w:t>Short Hypothesis</w:t>
      </w:r>
    </w:p>
    <w:p>
      <w:r>
        <w:t>Higher levels of bridging social capital causally increase the probability of admission to higher education (holding gaokao score, school quality, and core covariates constant).</w:t>
      </w:r>
    </w:p>
    <w:p>
      <w:r>
        <w:t xml:space="preserve"> </w:t>
      </w:r>
    </w:p>
    <w:p>
      <w:pPr>
        <w:pStyle w:val="Heading2"/>
      </w:pPr>
      <w:r>
        <w:t>Related Work</w:t>
      </w:r>
    </w:p>
    <w:p>
      <w:r>
        <w:t>Existing studies examine links between socioeconomic status (SES), social capital, and higher education access using cross-sectional regressions, logistic models, and descriptive analyses. Other work highlights digital literacy as an emerging correlate of educational opportunity and uses administrative policy variation (e.g., broadband rollout) as instruments to identify causal effects. Common approaches rely on simple adjustment sets, single-level regressions, or purely observational mediation without formal sensitivity checks. Limitations include (1) endogeneity and omitted-variable bias when social ties or digital skills are jointly determined with unobserved ability or local investments; (2) weak or plausibly invalid instruments with limited falsification; (3) measurement error from truncated name generators and self-reported digital skills; (4) small or clustered samples that reduce power for IV, mediation, and interaction effects; and (5) limited attention to measurement invariance across regions and hukou status.</w:t>
      </w:r>
    </w:p>
    <w:p>
      <w:r>
        <w:t xml:space="preserve"> </w:t>
      </w:r>
    </w:p>
    <w:p>
      <w:pPr>
        <w:pStyle w:val="Heading2"/>
      </w:pPr>
      <w:r>
        <w:t>Abstract</w:t>
      </w:r>
    </w:p>
    <w:p>
      <w:r>
        <w:t>This study investigates whether and how social capital, digital literacy, and socioeconomic status (SES) shape Chinese high school graduates’ access to higher education. Using a multi-province survey (n=629) linked to administrative timing of municipal broadband rollout and school internet funding, we estimate multilevel regressions, causal mediation, and instrumented-mediation models. We operationalize bonding versus bridging social capital from a five-name generator and derive latent factors for informational and instrumental support; digital literacy is measured by self-efficacy items and brief task-based items. Main contributions are: (1) a clear set of pre-registered causal estimands (total, natural direct/indirect, and moderated mediation effects); (2) combined use of multilevel SEM and two-stage IV mediation to interrogate mechanisms; and (3) prespecified diagnostics (first-stage strength, event-study, placebo outcomes, mediator sensitivity analyses). Expected outcomes are estimates of the magnitude and direction of bridging social capital and digital literacy effects on admission probability, with transparent bounds on causal claims when instruments or mediation assumptions are weak.</w:t>
      </w:r>
    </w:p>
    <w:p>
      <w:r>
        <w:t xml:space="preserve"> </w:t>
      </w:r>
    </w:p>
    <w:p>
      <w:pPr>
        <w:pStyle w:val="Heading2"/>
      </w:pPr>
      <w:r>
        <w:t>Methodology</w:t>
      </w:r>
    </w:p>
    <w:p>
      <w:r>
        <w:t>1) Data and measures: collect survey data from ~30 schools across western, central, and eastern provinces (target n≈629). Measure social capital via a 5-name generator recording relation (family/teacher/alumni/professional), whether the contact provided admissions information (informational), and tangible help (instrumental). Measure digital literacy with self-efficacy Likert items, behavioral hours, and three short task items (search query choice, webpage credibility, application-step selection). Record gaokao scores, household SES (assets PCA), parental education, hukou, private tutoring, migration, and school quality indicators.</w:t>
        <w:br/>
        <w:br/>
        <w:t>2) Measurement modeling: run polychoric EFA and WLSMV CFA to form latent factors (bonding, bridging, informational, instrumental). Test measurement invariance across region and hukou (configural→metric→scalar). If invariance fails, use partial invariance or alignment methods. Explain: EFA/CFA are factor analysis methods that group correlated items into latent variables.</w:t>
        <w:br/>
        <w:br/>
        <w:t>3) Main causal models: specify DAGs per estimand (total effects, mediation, moderated mediation). Estimate multilevel logistic models for binary admission with random intercepts for school and robust clustered SEs. For continuous outcomes (gaokao), use multilevel linear models.</w:t>
        <w:br/>
        <w:br/>
        <w:t>4) Mediation: estimate natural direct and indirect effects using parametric g-computation and Imai/Tingley counterfactual mediation for continuous mediators and risk-difference mediation for binary outcomes. Sequential ignorability is assumed for non-instrumented mediation (this means no unmeasured confounders of exposure→mediator and mediator→outcome after controls). Conduct sensitivity via Imai mediator-sensitivity and e-values.</w:t>
        <w:br/>
        <w:br/>
        <w:t>5) Instrument strategy: use municipal broadband rollout year and school internet-funding year as candidate instruments for digital literacy (and potentially for social-capital channels). Implement two-stage least squares (2SLS) for main IV checks, report first-stage F-statistics and partial R2. Test exclusion plausibility with event-study lead tests, placebo outcomes, balance tests, spatial lags, and overidentification tests when multiple instruments exist.</w:t>
        <w:br/>
        <w:br/>
        <w:t>6) Moderation: test bridging social capital × digital literacy interactions to assess moderated mediation. Interpret interaction as change in mediated/direct effects by bridging level.</w:t>
        <w:br/>
        <w:br/>
        <w:t>7) Robustness and inference: use clustered bootstrap (schools as units) for mediation CIs; if clusters &lt;30 use wild cluster bootstrap or Bayesian multilevel models with weak priors. Implement multiple imputation (m=20) that preserves clustering and mediator structure. Pre-register core covariates and alternative adjustment sets (minimal vs extended) and report sensitivity to including gaokao as a covariate vs treating it as a mediator.</w:t>
        <w:br/>
        <w:br/>
        <w:t>8) Reproducibility: store de-identified data on China-hosted encrypted servers, version-control code, and publish synthetic data and full analysis scripts.</w:t>
      </w:r>
    </w:p>
    <w:p>
      <w:r>
        <w:t xml:space="preserve"> </w:t>
      </w:r>
    </w:p>
    <w:p>
      <w:pPr>
        <w:pStyle w:val="Heading2"/>
      </w:pPr>
      <w:r>
        <w:t>Experiments</w:t>
      </w:r>
    </w:p>
    <w:p>
      <w:r>
        <w:t>1) Datasets: (a) Primary survey n≈629 across ~30 schools in western, central, eastern provinces with student-level measures (social capital name-generator, digital literacy items, gaokao, SES, covariates). (b) Administrative datasets: municipal broadband rollout year, school internet-funding/grant dates, provincial admissions-policy timing, and county-level control variables (night-lights, GDP per capita).</w:t>
        <w:br/>
        <w:br/>
        <w:t>2) Baselines: (A) unadjusted logistic regression of admission on bridging and digital literacy; (B) adjusted multilevel logistic with core covariates and school random intercept; (C) mediation without IV (Imai method) estimating natural indirect/direct effects; (D) IV 2SLS of digital literacy on admission using broadband-rollout instrument; (E) instrumented mediation (two-stage residual inclusion) if IV diagnostics pass.</w:t>
        <w:br/>
        <w:br/>
        <w:t>3) Evaluation metrics: primary metric = marginal effect on admission probability (risk difference) with 95% CI. Report indirect effect size (absolute probability points), proportion mediated, gaokao-adjusted coefficients, first-stage F-statistic, partial R2, AUC for predictive checks, and p-values. For model fit report CFI/TLI/RMSEA for CFA and RMSPE for synthetic-control checks.</w:t>
        <w:br/>
        <w:br/>
        <w:t>4) Experimental setup: cluster standard errors at school. Impute missing data with multilevel multiple imputation (m=20). For mediation use clustered bootstrap with 1,000 replicates (schools resampled). For IV: require first-stage F&gt;10; run Anderson-Rubin and LIML as robustness. If clusters&lt;30, use wild cluster bootstrap for hypothesis tests.</w:t>
        <w:br/>
        <w:br/>
        <w:t>5) Ablation/comparison studies: (i) Ablation A: compare mediation estimates using latent-factor scores versus summed indices. (ii) Ablation B: compare models with gaokao included as control versus gaokao excluded (treating it as mediator). (iii) IV comparison: contrast IV-mediated estimates vs non-IV mediation; report differences in indirect effect and confidence width. (iv) Heterogeneity: subgroup analyses by region (west/central/east) and hukou.</w:t>
        <w:br/>
        <w:br/>
        <w:t>6) Power checks: compute minimum detectable indirect effects and IV-local average treatment effect (LATE) under assumed first-stage partial R2 values {0.01,0.03,0.05} and ICCs {0.02,0.05,0.10}; report these tables before final analysis.</w:t>
      </w:r>
    </w:p>
    <w:p>
      <w:r>
        <w:t xml:space="preserve"> </w:t>
      </w:r>
    </w:p>
    <w:p>
      <w:pPr>
        <w:pStyle w:val="Heading2"/>
      </w:pPr>
      <w:r>
        <w:t>Risk Factors And Limitations</w:t>
      </w:r>
    </w:p>
    <w:p>
      <w:r>
        <w:t>1) Instrument invalidity: broadband rollout may correlate with other local investments (teacher hiring, school upgrades), violating exclusion. 2) Weak instruments: first-stage may be too weak, producing imprecise or biased IV estimates. 3) Endogenous selection: student migration, school choice, or private tutoring may be endogenous and bias estimates. 4) Measurement error: truncated name-generator limits captured network size; self-report digital skills may not match task performance. 5) DIF and noninvariance: items may function differently across regions or hukou groups, contaminating latent factors. 6) Small cluster count: fewer than ~30 schools reduces reliability of cluster-robust SEs and power for interactions and mediation. 7) Low statistical power: n≈629 limits precision for IV and mediated IV interactions; some effects may be undetectable. 8) Administrative data access: timing or denial of broadband/funding records under PIPL can prevent IV identification. 9) Missing data and nonresponse: differential nonresponse by SES or region may bias results. 10) Limited generalizability: sample across selected provinces may not represent all Chinese high school graduates.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