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chatgpt_prompt_texts_reading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Using ChatGPT-4 to generate student-prompted texts to improve fourth-grade reading skills, comprehension, and reading motivation: a sequential explanatory mixed-method study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Assigning fourth-grade students texts generated by ChatGPT-4 from their own prompts causes greater gains in reading comprehension, reading skills, and reading motivation than assigning standard classroom texts.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shows interactive multimedia, flipped-classroom approaches, and reciprocal teaching can improve early reading and comprehension. Emerging studies report that AI-generated texts can increase engagement and reading outcomes, but these studies often use researcher-designed prompts, lack rigorous randomization or adequate power, and do not combine experimental designs with explanatory qualitative work. Existing methods also under-specify safety, PII redaction, and teacher-in-the-loop workflows. Measurement limitations include short pre/post designs with low reliability and missing repeated measures to boost precision. NLG systems face model drift and content-safety risks that prior work often handles informally. In sum, current approaches leave unresolved issues on personalization via student prompts, robust causal identification under classroom clustering, clear fidelity rules, safety/PII controls, and integrated mixed-methods explanations of mechanisms.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texts generated by ChatGPT-4 from fourth-grade students' own prompts improve reading skills, comprehension, and reading motivation. We use a sequential explanatory mixed-method design combining a Solomon four-group experiment and a purposive case-study strand in two public primary schools. The intervention produces short, curriculum-aligned texts from each student prompt, subjects them to automated safety and readability checks, and routes them through a teacher accept/reject workflow before classroom use. Primary quantitative analysis estimates the intent-to-treat effect on a composite reading comprehension score using repeated measures and mixed models; secondary analyses include per-protocol and CACE (complier-average causal effect) estimators. Qualitative case studies explain mechanisms through observations, interviews, and artifact analysis. The main contribution is a reproducible, ethically framed protocol that evaluates personalized AI-generated texts for elementary reading outcomes and documents implementation, safety, and fidelity factors that shape effectiveness. Expected impact is clearer evidence on whether student-driven AI text generation is a viable classroom tool for improving reading outcomes.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Participants and design: Recruit fourth-grade students in two public schools (target N=106 for the pilot/full study). Use a Solomon four-group design: two cells with a baseline pretest and two without, crossed with treatment (ChatGPT texts) and control (standard classroom texts). Randomize at the student level when feasible; stratify randomization by school, baseline reading tercile, and ELL status. Intervention workflow: each student creates short prompts; prompts undergo automated PII redaction (NER+regex) and are then used with a frozen ChatGPT-4 system prompt to generate two text variants. Automated checks compute readability (Flesch–Kincaid), topical alignment (embedding cosine similarity), vocabulary counts, and a safety classifier. Texts failing thresholds are auto-regenerated up to two times, then routed to teacher/RA review. Teachers review and accept/reject or make minor edits through a compact UI; all decisions and edit magnitudes are logged. Curriculum scaffolds: each text includes up to three new word definitions, one or two comprehension questions, and tiered scaffolding prompts. Measurement: administer a composite reading comprehension battery (multiple-choice, cloze, short constructed response) and validated reading-motivation scales. Collect repeated measures: pretest (when assigned) and three posttests (immediate, 3 weeks, 8–10 weeks). Analysis plan: primary estimand is ITT average treatment effect estimated via linear mixed models (random intercepts for student and class, AR(1) residuals) on repeated measures; report the Solomon unbiased contrast and test pretest sensitization. Secondary estimands: per-protocol (teacher accept-rate ≥80%) and CACE using assignment as an instrument. Qualitative strand: purposive sample of 10–14 students and 4–6 teachers for observations, interviews, and artifact analysis; use thematic coding and joint displays to link mechanisms to quantitative variation.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Participants and datasets: Pilot N=30–40 stratified by baseline ability to calibrate instruments and thresholds; full study target N=106 across two schools. Experimental cells: Solomon four-group allocation with equal allocation ratios to the four cells; randomization script stratified by school, baseline tercile, and ELL. Baselines: standard classroom texts matched on genre and readability band. Ablations: (A) scaffold present vs scaffold removed; (B) teacher-in-loop review vs RA pre-screening; (C) single-variant generation vs 2-variant A/B selection. Metrics: Primary outcome = composite reading comprehension score (z-scored within sample) combining MC items, CLOZE, and a 0–3 scored short constructed response. Secondary outcomes = reading motivation scale (validated subscales: self-efficacy, intrinsic enjoyment), reading fluency (words per minute), teacher accept-rate (% accepted texts), and fidelity logs (edit magnitude, review time). Psychometrics and checks: compute reliability (omega/alpha ≥0.80 target), r(pre,post), rater ICC for constructed responses (target ≥0.80), and class ICC. Analysis: primary test = ITT ATE using LMM with treatment×time interaction and Solomon unbiased contrast 0.5[(Y_A−Y_B)+(Y_C−Y_D)]. Report effect size (standardized mean difference d), 95% CI, and p-values. Adjust SEs for clustering or include class random intercept. Missing data: primary approach = multiple imputation chained equations including auxiliary variables; sensitivity via pattern-mixture models. Power analyses: run Monte Carlo LMM sims for N=106, T=4, reliability 0.80, within-student autocorr 0.60, ICC 0.02–0.10 to report detectable d. Comparative analyses: compare intervention vs control pooled, scaffold vs no-scaffold ablation, and teacher-review vs RA fallback; report subgroup contrasts for ELL and low-baseline tercile with recorded cell sizes. Pre-specified thresholds and scripts: provide R scripts for randomization, imputations, LMMs, and power simulations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Underpowered effects: with N=106 and classroom clustering small true effects (d≈0.30) may not be detectable. Contamination: students may share generated texts across arms, biasing estimates. Safety and PII: automated filters can fail, risking exposure of harmful content or identifiable data. Model drift and outages: provider updates can change outputs; outages require a vetted fallback corpus. Teacher burden: review time may exceed targets, affecting fidelity and feasibility. Measurement bias: instruments may not be fully invariant across ELL or special-needs students, limiting comparability. Generalizability: results may not extend beyond fourth graders, the two participating schools, or different curricular contexts. Reliance on vendor API: data residency, legal, and operational constraints limit reproducibility if access changes. Technical failures: embedding or readability thresholds may misclassify topicality leading to unnecessary human reviews. Ethical constraints: IRB or district restrictions could limit data retention, analysis, or sharing of generation logs.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