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fuzzy_pa_western_taiwan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Applying the fuzzy distinction method to plan precautionary areas for offshore wind farms along western Taiwan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fuzzy-logic fusion model that integrates AIS-derived navigational risk, ecological sensitivity, and wind/hydrodynamic factors with Monte Carlo sampling of uncertainties will identify high-risk cells with spatial ROC AUC ≥ 0.75 and a false-negative rate ≤ 10% against Coast Guard incident logs.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uses AIS and GIS to map vessel density and encounter risk, ecological models (KDE, presence-only suitability) to map habitat sensitivity, and deterministic indices or simple weighted sums to propose exclusion zones for offshore wind. Some projects use fuzzy logic to combine a few inputs, but they often assume independent inputs, use single deterministic membership functions, or lack systematic uncertainty quantification. Limitations include: (1) AIS reception bias nearshore and incomplete use of satellite/VTS data for correction; (2) coarse spatial or temporal aggregation that misses maneuvering hazards; (3) ad-hoc thresholds and poor provenance/versioning of rule sets; (4) little joint modeling of wind/hydrodynamics with navigation and ecology; and (5) weak validation against incident logs or simulated failure scenarios. These weaknesses leave existing methods vulnerable to over-/under‑protecting areas and to producing non-auditable decisions.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Coastal Taiwan must balance maritime safety, ecological protection, and wind resource use when siting offshore wind farms. This work applies a fuzzy distinction method to produce precautionary area (PA) maps for western Taiwan that jointly consider navigational safety, ecological sensitivity, and wind/hydrodynamic factors. We fuse AIS-derived traffic and encounter-risk rasters, seasonal ecological sensitivity indices, and wind/current suitability rasters within a transparent fuzzy inference system. To handle data bias and uncertainty we quantify AIS reception probability, impute under-detected traffic, normalize inputs with a canonical percentile pipeline, and run Monte Carlo ensembles (N≈1,000) sampling correlated input perturbations and membership function parameters via empirical or copula-based joint sampling. Outputs are mean and percentile PA maps plus per-cell confidence and sensitivity scores. Main contributions: (1) an operational fuzzy PA pipeline that explicitly models correlated uncertainties; (2) empirical AIS coverage correction and imputation; and (3) reproducible validation against incident logs and expert review. Expected outcome: auditable PA maps that meet predefined safety detection targets and guide dynamic, seasonal PA operationalization.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assembly: collect terrestrial AIS, satellite AIS, VTS/radar logs, port call records, Coast Guard incident logs, ecological layers (KDEs, breeding/nursery polygons, benthic surveys, eBird/GBIF), and wind/hydro outputs (met reanalysis, ADCP, model ensembles). 2) AIS preprocessing and coverage modeling: deduplicate, filter implausible records, smooth SOG/COG; compute per-station reception probability and per-cell detection probability using station geometry and per-hour message density. 3) Imputation: create three imputation variants — none, inverse-probability weighted model draws for under-detected small craft, and satellite/VTS-augmented fills — and attach per-cell residual detection uncertainty. 4) Canonical normalization: winsorize at 1st/99th percentiles, then map to [0,1] by linear scaling using 5th/95th percentiles; apply seasonal normalization for time-varying layers. (Winsorize: limit extreme values; percentile scaling: map middle range to 0–1.) 5) Construct input rasters: navigational risk (density, CPA probability, maneuvering deficit), ecological sensitivity index (weighted KDE, rarity, recoverability), and wind/hydro suitability and hazard rasters (TI, gusts, currents, Hs, scour). 6) Define membership functions (MFs): triangular/trapezoidal MFs seeded from empirical percentiles (VeryLow, Low, Medium, High, VeryHigh) and store ±15% parameter ranges for sampling. (MF: function that maps input value to degree of membership between 0 and 1.) 7) Fuzzy inference: implement Mamdani baseline FIS (human-readable rules) with centroid defuzzification to produce PA scores 0–100; keep Sugeno as an alternative to test. 8) Monte Carlo ensembles: build joint input samples empirically or fit vine/Gaussian copulas to preserve dependence; sample N=1,000 realizations perturbing inputs and MF parameters; produce mean, 5th and 95th percentile PA rasters and per-cell confidence. 9) Sensitivity: run variance-based Sobol on a reduced orthogonal subset and compute Shapley effects for correlated inputs. 10) Validation: spatially match PA outputs to incident logs using buffered spatio-temporal windows, compute spatial ROC AUC and false-negative rates, and run expert workshops for concordance. 11) Provenance and governance: store MF JSON and rulebooks with semantic versioning, tag rasters with source/version metadata, and publish notebooks and seed values for reproducibility.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terrestrial AIS (multi-year), satellite AIS, VTS/radar logs, port call records, Coast Guard incident logs, ecological surveys (TORI, benthic, telemetry, eBird/GBIF), ADCP and buoy data, WRF/WRF-nested and SWAN/ROMS hydrodynamic/wave outputs. Baselines: (A) deterministic weighted-sum index using same normalized inputs, (B) no-fuzzy single-threshold exclusion zones, (C) Sugeno fuzzy inference, (D) fuzzy model with no AIS imputation. Grid and temporal setup: 100 m grid for maneuvering-sensitive runs and 250 m for envelope runs; seasonal splits (monsoon/typhoon, calm, winter migratory), and day/night. Monte Carlo: N = 500, 1,000, 2,000 experiments (start at 1,000); MF perturbation sets ±5%, ±15%, ±25%. Evaluation metrics: spatial ROC AUC for high‑risk detection, false-negative rate for high-risk cells, precision/recall, area of No-go pixels, calibration plots, expert concordance (%) from blind review, and runtime (wall-clock hours) on 16–32 vCPU nodes. Ablation studies: 1) remove ecological input and compare AUC/FN changes; 2) compare no-imputation vs inverse-prob weighting vs satellite-augmented imputation effects on navigational risk and PA changes; 3) compare Mamdani vs Sugeno and centroid vs mean-of-max defuzzification; 4) sensitivity of winsorize bounds (0.5/99.5, 1/99, 2/98) and MF seed ranges (±5/±15/±25%). Sensitivity analysis: run Saltelli/Sobol on reduced parameter set (target sample ~1,024) and compute Shapley effects for correlated inputs. Reproducibility: publish seedable notebooks, MF JSON, normalization scripts, and a canonical small-area dataset.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AIS data bias: terrestrial AIS misses small nearshore craft and has spatially varying reception; imputation may misrepresent true traffic. 2) Incident log sparsity or mismatch: Coast Guard logs may be incomplete or temporally imprecise, limiting validation power. 3) Copula/multivariate fit errors: incorrect dependence models can under- or over-estimate joint extremes. 4) Computational cost: N≥1,000 joint realizations on 100 m grids requires substantial CPU and IO; scaling to larger domains may be slow. 5) Threshold sensitivity: winsorize percentiles, MF seeds, and No-go cutoffs may materially change PA extent and require stakeholder agreement. 6) Operational enforcement gap: producing PA maps does not ensure legal enforcement or real-time alerts without MOUs and infrastructure. 7) Generalization: methods and thresholds tuned for western Taiwan may not transfer to other coasts without recalibration. 8) Safety risk: false negatives (missed high-risk cells) have real safety consequences; model errors may lead to under-protection. 9) Privacy/licensing: AIS feed restrictions can limit data sharing and reproducibility. 10) Validation bias: expert concordance risks group bias and may overstate reliability.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