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Longitudinal bibliometric mapping of dance therapy in rehabilitation (2000–2024) using Web of Science and complementary tools</w:t>
      </w:r>
    </w:p>
    <w:p>
      <w:r>
        <w:t xml:space="preserve"> </w:t>
      </w:r>
    </w:p>
    <w:p>
      <w:pPr>
        <w:pStyle w:val="Heading2"/>
      </w:pPr>
      <w:r>
        <w:t>Short Hypothesis</w:t>
      </w:r>
    </w:p>
    <w:p>
      <w:r>
        <w:t>Papers on dance therapy in rehabilitation published in 2015–2024 are more likely to be randomized controlled trials and have lower risk-of-bias scores than papers published in 2000–2014, indicating a temporal shift toward higher-evidence designs.</w:t>
      </w:r>
    </w:p>
    <w:p>
      <w:r>
        <w:t xml:space="preserve"> </w:t>
      </w:r>
    </w:p>
    <w:p>
      <w:pPr>
        <w:pStyle w:val="Heading2"/>
      </w:pPr>
      <w:r>
        <w:t>Related Work</w:t>
      </w:r>
    </w:p>
    <w:p>
      <w:r>
        <w:t>Existing work includes isolated systematic reviews of dance-based interventions and general bibliometric studies in rehabilitation fields. Prior bibliometric approaches commonly use single-database exports, basic co‑occurrence maps, and static keyword clustering. Limitations in current methods are: (1) lack of longitudinal, two-decade mappings specific to dance therapy; (2) limited cross-database sensitivity analyses that quantify coverage bias; (3) inadequate author/affiliation disambiguation leading to inflated collaboration metrics; (4) few studies link bibliometrics to clinical outcomes or risk-of-bias assessments; (5) topic modelling for short abstracts is often unstable without stability diagnostics; and (6) visualization outputs and reproducibility artifacts are frequently not fully shared or licensed for reuse. These gaps prevent clear conclusions about the field's intellectual structure, evidence density, and trends.</w:t>
      </w:r>
    </w:p>
    <w:p>
      <w:r>
        <w:t xml:space="preserve"> </w:t>
      </w:r>
    </w:p>
    <w:p>
      <w:pPr>
        <w:pStyle w:val="Heading2"/>
      </w:pPr>
      <w:r>
        <w:t>Abstract</w:t>
      </w:r>
    </w:p>
    <w:p>
      <w:r>
        <w:t>We present a reproducible, longitudinal bibliometric analysis of research on dance therapy in rehabilitation from 2000 to 2024. Using Web of Science Core Collection as the primary source and Scopus/PubMed for sensitivity checks, we apply deterministic and probabilistic deduplication and author disambiguation to produce a cleaned corpus. We combine topic modelling (LDA and Structural Topic Model), network analysis (co-authorship, co-citation, keyword co-occurrence), and clinical evidence mapping (RoB2/ROBINS-I for trials and extraction of core outcome domains). We preregister thresholds and seeds, run stability bootstraps, and quantify temporal trends and changepoints. Main contributions are: the first two-decade, reproducible map of dance-therapy rehabilitation literature; linkage of thematic clusters to trial evidence and outcomes; and open, versioned artifacts (thesaurus, scripts, visualizations) while respecting data licenses. Expected outcomes include validated topic structures, quantified shifts in study design over time, and transparent resources to guide future research and policy.</w:t>
      </w:r>
    </w:p>
    <w:p>
      <w:r>
        <w:t xml:space="preserve"> </w:t>
      </w:r>
    </w:p>
    <w:p>
      <w:pPr>
        <w:pStyle w:val="Heading2"/>
      </w:pPr>
      <w:r>
        <w:t>Methodology</w:t>
      </w:r>
    </w:p>
    <w:p>
      <w:r>
        <w:t>1) Search and export: Run the preregistered Web of Science query (2000–2024) with core terms (e.g., "dance therap*", "dance movement therap*") and rehabilitation filters; export full fields (title, abstract, authors, affiliations, ORCID, DOI, funding text, cited references). 2) Sensitivity: Repeat scripted queries in Scopus and PubMed and log differences. 3) Deduplication: Use DOI exact-match, then title+first-author exact, then fuzzy-title matching (Levenshtein ≥0.90); save logs. (Levenshtein is a string distance measuring edits needed.) 4) Disambiguation: Apply ORCID exact matches then probabilistic linkage (Splink/dedupe) using name similarity (pairwise threshold 0.85), affiliation, email, and co-author features; export mapping files. 5) Translation and language: Auto-translate non-English abstracts with DeepL; require native verification for RCTs and top-50 cited non-English items. 6) Topic extraction: Preprocess text, run LDA and STM across K=8–16 with fixed seeds {12345,54321}; compute coherence and exclusivity (measures of topic quality). 7) Network analysis: Build co-authorship, co-citation, and keyword networks; cluster with Leiden/Louvain algorithms; compute modularity and silhouette (cluster quality metrics). 8) Clinical mapping: Identify RCTs and non-randomized studies via automated rules plus manual validation; extract core outcomes and apply RoB2 (for RCTs) and ROBINS-I (for non-randomized). 9) Stability and reproducibility: Run bootstrap n=200 for topic and network stability; store all seeds, scripts, VOSviewer/CiteSpace settings and a thesaurus for name/institution variants. 10) Metrics and normalization: Compute FWCI and citations-per-year, altmetrics (Altmetric/PlumX), and perform self-citation sensitivity (remove by ORCID or exact-name match).</w:t>
      </w:r>
    </w:p>
    <w:p>
      <w:r>
        <w:t xml:space="preserve"> </w:t>
      </w:r>
    </w:p>
    <w:p>
      <w:pPr>
        <w:pStyle w:val="Heading2"/>
      </w:pPr>
      <w:r>
        <w:t>Experiments</w:t>
      </w:r>
    </w:p>
    <w:p>
      <w:r>
        <w:t>Dataset: Primary: Web of Science Core Collection records (2000–2024). Sensitivity: Scopus and PubMed exports; grey literature samples from ClinicalTrials.gov, medRxiv, and ProQuest. Baselines: (A) Raw WoS export with no disambiguation; (B) WoS with deterministic deduplication only; (C) WoS with full probabilistic disambiguation but no clinical mapping. Proposed experiments: 1) Temporal change test: Logistic regression predicting RCT status (binary) by publication period (2000–2014 vs 2015–2024) adjusted for journal and region; report odds ratio (OR) and 95% CI. 2) RoB comparison: Compare median RoB2 scores between periods using Wilcoxon test. 3) Topic stability: Run LDA/STM K=8..16 with seeds {12345,54321}, compute coherence and exclusivity, and stability ARI/NMI across bootstrap n=200; report best K by combined metrics. 4) Network sensitivity: Build co-authorship networks under author min-pubs thresholds {2,3,4}; compute node count, modularity, and centrality ranks; produce cluster stability matrix. 5) Cross-database citation effect: For matched records, compare citation counts from WoS vs Scopus; compute Spearman rho and report median relative difference. 6) Ablation studies: (i) Remove self-citations and recompute FWCI and top-author ranks; (ii) Exclude inferred demographics (gender confidence &lt;0.60) and re-run demographic summaries; (iii) Remove automated clinical mapping and compare cluster×evidence matrices. Evaluation metrics: APC (annual percent change) with 95% CI, ORs for logistic models, Wilcoxon p-values, coherence/exclusivity scores, ARI/NMI, modularity, silhouette, Spearman correlations, and percentage change in top-10 author/institution lists. Reproducibility: provide R/Python notebooks with fixed seeds and Docker container specifying software versions.</w:t>
      </w:r>
    </w:p>
    <w:p>
      <w:r>
        <w:t xml:space="preserve"> </w:t>
      </w:r>
    </w:p>
    <w:p>
      <w:pPr>
        <w:pStyle w:val="Heading2"/>
      </w:pPr>
      <w:r>
        <w:t>Risk Factors And Limitations</w:t>
      </w:r>
    </w:p>
    <w:p>
      <w:r>
        <w:t>1) Search specificity: Core terms may capture non-therapeutic "social dance" or "creative movement" records, inflating corpus. 2) Database bias: WoS coverage favors indexed journals; regional and non-indexed sources may be underrepresented, affecting counts and citation metrics. 3) Disambiguation errors: Probabilistic linkage can misassign publications to authors or split single authors, altering network measures. 4) Translation risk: Machine translation may misrepresent non-English abstracts, affecting topic models and inclusion decisions. 5) Demographic inference ethics: Gender and career-stage inferences are probabilistic and can be biased by names, culture, and missing data. 6) RoB subjectivity: Risk-of-bias ratings have assessor variability and require time-consuming manual review. 7) Topic modelling limits: Short or sparse abstracts reduce model stability and interpretability. 8) Versioning/preprint changes: Differences between preprints and final publications (e.g., outcomes) may complicate evidence mapping. 9) Compute and time: Bootstrap stability and large network computations require moderate computational resources and manual validation labor. 10) Generalization: Bibliometric patterns reflect publications, not necessarily real-world clinical adoption or intervention effectiveness.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