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aesthetics_comparativeness_islam_observed</w:t>
      </w:r>
    </w:p>
    <w:p>
      <w:r>
        <w:t xml:space="preserve"> </w:t>
      </w:r>
    </w:p>
    <w:p>
      <w:pPr>
        <w:pStyle w:val="Heading2"/>
      </w:pPr>
      <w:r>
        <w:t>Title</w:t>
      </w:r>
    </w:p>
    <w:p>
      <w:r>
        <w:t>A comparative multimodal coding study of aesthetic codes and the literary aura in Islamic ritual practices in Morocco and Indonesia</w:t>
      </w:r>
    </w:p>
    <w:p>
      <w:r>
        <w:t xml:space="preserve"> </w:t>
      </w:r>
    </w:p>
    <w:p>
      <w:pPr>
        <w:pStyle w:val="Heading2"/>
      </w:pPr>
      <w:r>
        <w:t>Short Hypothesis</w:t>
      </w:r>
    </w:p>
    <w:p>
      <w:r>
        <w:t>Higher scores on a six-variable literary-aura rubric cause increased perceived cross-site comparability of ethnographic segments, as measured by paired similarity ratings from coders and interlocutors.</w:t>
      </w:r>
    </w:p>
    <w:p>
      <w:r>
        <w:t xml:space="preserve"> </w:t>
      </w:r>
    </w:p>
    <w:p>
      <w:pPr>
        <w:pStyle w:val="Heading2"/>
      </w:pPr>
      <w:r>
        <w:t>Related Work</w:t>
      </w:r>
    </w:p>
    <w:p>
      <w:r>
        <w:t>Prior work studies Islamic aesthetics using ethnography, anthropology, literary analysis, and archival methods. Approaches either focus on single sites with deep historical or textual context, or on broad comparative accounts that rely mainly on text-based translation and thematic summaries. Multimodal analyses and digital archives have been introduced but are unevenly applied across sonic, visual, and performative modalities. Existing methods show three main limitations: (1) weak operationalization of aesthetic concepts (e.g., no validated rubric for the "literary aura"); (2) limited integration of translation uncertainty and poetic lineation in searchable corpora; (3) sparse use of mixed quantitative tests (clustering, stability checks) alongside paired close readings and community validation. These gaps hinder clear, testable comparisons of aesthetic codes across culturally distinct ritual contexts.</w:t>
      </w:r>
    </w:p>
    <w:p>
      <w:r>
        <w:t xml:space="preserve"> </w:t>
      </w:r>
    </w:p>
    <w:p>
      <w:pPr>
        <w:pStyle w:val="Heading2"/>
      </w:pPr>
      <w:r>
        <w:t>Abstract</w:t>
      </w:r>
    </w:p>
    <w:p>
      <w:r>
        <w:t>This project tests whether a measurable "literary aura" in ethnographic prose and multimodal aesthetic coding predicts perceived comparability between matched ritual cases in Morocco (Fez) and Indonesia (Yogyakarta). We combine field-collected audiovisual recordings, interviews, close readings, and archival texts with a TEI/XML bilingual corpus and a multimodal coding manual that includes a six-variable aura rubric and sensory-poetic codes. The main contribution is an integrated pipeline that links segment-level codes and aura scores to quantitative cluster analyses and to paired similarity ratings from coders and interlocutors. Expected outcomes are: a validated aura rubric, reproducible multimodal corpora with translation versioning, and empirical tests relating stylistic features to perceived comparability. Results will clarify when comparative analogies are supported by shared aesthetic code profiles and when apparent similarity reflects narrative framing, improving methodological rigor in comparative studies of religious aesthetics.</w:t>
      </w:r>
    </w:p>
    <w:p>
      <w:r>
        <w:t xml:space="preserve"> </w:t>
      </w:r>
    </w:p>
    <w:p>
      <w:pPr>
        <w:pStyle w:val="Heading2"/>
      </w:pPr>
      <w:r>
        <w:t>Methodology</w:t>
      </w:r>
    </w:p>
    <w:p>
      <w:r>
        <w:t>1) Site pairing and sampling: collect pilot corpora from Fez and Yogyakarta: 4–6 ritual nodes per site, 8–12 cultural producers per site, ~20 semi-structured interviews per site, and ~10 audiovisual recordings per site; include selected archival texts. 2) Data encoding: transcribe texts and encode bilingual TEI/XML with interlinear glosses for poetry, preserve original lineation and metadata. TEI/XML is a text encoding format that stores text plus structure and metadata. 3) Translation workflow: native scholar-translators produce initial translations with prosodic notes; back-translate a stratified 20% sample; record variants in a Translation Decisions Register. 4) Coding manual: implement a multimodal taxonomy (visual, sonic, textual, performative), formal features, function, circulation, and the six-variable literary-aura rubric (each variable scored 0–2). 5) Coder training: run workshops, calibration rounds, compute inter-coder reliability (Cohen's Kappa for pairwise, Krippendorff's alpha for multi-coder). Cohen's Kappa measures agreement beyond chance; Krippendorff's alpha is a general reliability measure. 6) Segment-level annotation: attach short memos to coded segments; store coded data in a secure repository with versioning. 7) Analysis pipeline: build code frequency and co-occurrence matrices (counts of codes per segment), apply clustering (hierarchical, k-means) and latent class analysis to identify aesthetic families, and compute cluster stability via bootstrapping. 8) Triangulation: conduct paired close readings and community validation workshops that collect similarity ratings for paired segments. 9) Statistical testing: model perceived comparability (binary or continuous similarity score) as a function of aura score and modality profiles using logistic or linear regression with cross-validation. 10) Documentation: preregister analysis plan, archive code and anonymized calibration corpora with governed access.</w:t>
      </w:r>
    </w:p>
    <w:p>
      <w:r>
        <w:t xml:space="preserve"> </w:t>
      </w:r>
    </w:p>
    <w:p>
      <w:pPr>
        <w:pStyle w:val="Heading2"/>
      </w:pPr>
      <w:r>
        <w:t>Experiments</w:t>
      </w:r>
    </w:p>
    <w:p>
      <w:r>
        <w:t>Datasets: Pilot corpora from Fez and Yogyakarta including: 4–6 ritual nodes per site, ~20 interviews per site (transcribed), ~10 AV recordings per site (segmented), and 50–100 archival text segments per site encoded in TEI/XML. Baselines: (A) modality-agnostic thematic coding (no sensory codes), (B) text-only coding (exclude AV-derived codes), (C) no-aura model (all codes but exclude aura variables). Evaluation metrics: inter-coder reliability (Cohen's Kappa, Krippendorff's alpha), cluster quality (silhouette score), cluster stability (bootstrap mean adjusted Rand index), predictive performance (AUC for logistic regression or R^2 for linear regression), and paired similarity agreement (Spearman correlation between coder and interlocutor ratings). Experimental setup: 1) Pre-register all hypotheses and pipelines. 2) Perform segment-level coding using the full taxonomy including aura variables. 3) Baseline comparison: run clustering and predictive models on full dataset and on each baseline variant (A,B,C). 4) Ablation study 1: remove aura variables and re-run predictive model predicting paired similarity; record change in AUC/R^2. 5) Ablation study 2: drop one modality at a time (visual, sonic, textual) from code matrices and re-run clustering; compare silhouette and stability metrics. 6) Clustering specs: run hierarchical clustering (Ward linkage) and k-means for k=2..8, use Euclidean and cosine distances; select k by silhouette and BIC where applicable. 7) Stability: bootstrap 500 resamples of segments, compute adjusted Rand index relative to original clusters. 8) Predictive testing: use 5-fold cross-validation for regression models, report mean and 95% CI for performance metrics. 9) Translation effect test: compare model performance when using canonical translations only versus multi-rendering representations; measure change in predictive metrics. 10) Statistical thresholds: report p-values and effect sizes; treat results as exploratory if sample sizes prevent stable clustering (defined as mean adjusted Rand index &lt;0.6).</w:t>
      </w:r>
    </w:p>
    <w:p>
      <w:r>
        <w:t xml:space="preserve"> </w:t>
      </w:r>
    </w:p>
    <w:p>
      <w:pPr>
        <w:pStyle w:val="Heading2"/>
      </w:pPr>
      <w:r>
        <w:t>Risk Factors And Limitations</w:t>
      </w:r>
    </w:p>
    <w:p>
      <w:r>
        <w:t>1) Inter-coder disagreement: nuanced aesthetic codes may yield low reliability, reducing confidence in quantitative tests. 2) Small pilot sample: limited segments may produce unstable clusters and low statistical power for cross-site quantitative comparisons. 3) Translation loss: poetic or performative "untranslatables" may bias textual codes and comparisons. 4) Missing or partial AV data: incomplete recordings or transcription gaps can break multimodal alignment across segments. 5) Legal and governance constraints: country-specific restrictions on exporting AV materials or data sovereignty requirements may limit data sharing and replication. 6) Ethical risks: sensitive ritual contexts may restrict access, alter participant behavior, or limit public dissemination. 7) Computational limits: high-dimensional code matrices with small N can overfit clustering or predictive models. 8) Generalization limits: findings from two pilot sites may not generalize to broader Islamic practices or regions. 9) Archival linkage ambiguity: temporal matching between archival items and contemporary segments may be imprecise, producing questionable diachronic inferences.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