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thermalscapes_informal_shade_cuiaba</w:t>
      </w:r>
    </w:p>
    <w:p>
      <w:r>
        <w:t xml:space="preserve"> </w:t>
      </w:r>
    </w:p>
    <w:p>
      <w:pPr>
        <w:pStyle w:val="Heading2"/>
      </w:pPr>
      <w:r>
        <w:t>Title</w:t>
      </w:r>
    </w:p>
    <w:p>
      <w:r>
        <w:t>Ethnography and participatory biosensing to quantify the effect of informal shading on thermal comfort and retail atmospheres in a hot Brazilian city centre</w:t>
      </w:r>
    </w:p>
    <w:p>
      <w:r>
        <w:t xml:space="preserve"> </w:t>
      </w:r>
    </w:p>
    <w:p>
      <w:pPr>
        <w:pStyle w:val="Heading2"/>
      </w:pPr>
      <w:r>
        <w:t>Short Hypothesis</w:t>
      </w:r>
    </w:p>
    <w:p>
      <w:r>
        <w:t>Informal shading (umbrellas, tarps, awnings, trees) causes immediate reductions in mean radiant temperature and produces measurable within-person decreases in physiological heat strain (heart rate and phasic skin conductance) during shade transitions in Cuiabá city centre.</w:t>
      </w:r>
    </w:p>
    <w:p>
      <w:r>
        <w:t xml:space="preserve"> </w:t>
      </w:r>
    </w:p>
    <w:p>
      <w:pPr>
        <w:pStyle w:val="Heading2"/>
      </w:pPr>
      <w:r>
        <w:t>Related Work</w:t>
      </w:r>
    </w:p>
    <w:p>
      <w:r>
        <w:t>Existing work on urban thermal environments uses three main approaches: (1) fixed meteorological sensors and microclimate models that map radiation and temperature but rarely measure human physiology; (2) remote sensing and thermal imagery that provide spatial patterns but miss human-scale shade effects; (3) laboratory or survey studies of thermal comfort that capture subjective response but lack real-world exposure dynamics. Wearable biosensing studies have measured heart rate and skin conductance in the field but face motion artifacts, sensor bias on darker skin, and high-humidity saturation of sweat signals. MRT (mean radiant temperature) is often approximated from simplified radiation models or globe measurements without full accounting for urban canyon reflections and albedo. Qualitative studies characterize shopper behavior and atmosphere but seldom link time-aligned physiological traces. Limitations across approaches include poor integration of sensor-derived physiology with ethnographic context, weak handling of motion and humidity artifacts, uncertain MRT derivation in dense urban geometry, and limited privacy-preserving spatial sharing.</w:t>
      </w:r>
    </w:p>
    <w:p>
      <w:r>
        <w:t xml:space="preserve"> </w:t>
      </w:r>
    </w:p>
    <w:p>
      <w:pPr>
        <w:pStyle w:val="Heading2"/>
      </w:pPr>
      <w:r>
        <w:t>Abstract</w:t>
      </w:r>
    </w:p>
    <w:p>
      <w:r>
        <w:t>This study examines how informal shading shapes thermal conditions and consumer experience in a hot city centre by combining ethnography with participatory biosensing. We deploy targeted ethnographic observation in 4–6 micro-places in Cuiabá alongside repeated biosensor sessions (Empatica/Shimmer wrist units, Polar H10 chest ECG subsample) and fixed ambient instruments (black globe, pyranometer, hygrometer, GPS). We detect automated shade transitions from irradiance and globe-derived MRT changes and analyze immediate (0–2 min), short (2–10 min) and medium (10–30 min) physiological responses using hierarchical time-series models. The main contribution is an integrated, field-ready protocol that links mapped shade morphology, sensor-derived MRT/PET/UTCI, and time-aligned biosignals with ethnographic annotations. Expected outcomes are quantification of shade-related reductions in MRT and physiological heat strain, validated event-detection thresholds tuned in pilot data, and open reproducible artifacts (pre-registration, code, provenance) that enable urban designers and public-health researchers to assess micro-scale shading interventions while respecting participant privacy.</w:t>
      </w:r>
    </w:p>
    <w:p>
      <w:r>
        <w:t xml:space="preserve"> </w:t>
      </w:r>
    </w:p>
    <w:p>
      <w:pPr>
        <w:pStyle w:val="Heading2"/>
      </w:pPr>
      <w:r>
        <w:t>Methodology</w:t>
      </w:r>
    </w:p>
    <w:p>
      <w:r>
        <w:t>1) Site selection: choose 4–6 contrasting micro-places (market streets, plazas, open stalls, arcade fronts) with repeated visits (3–5 each). 2) Ethnography: participant observation, short structured interviews, and time-stamped field notes. Codebook includes thermal sensation (7-point scale), shade type, behavior, and sensory atmosphere. 3) Biosensing devices: primary wrist PPG/EDA unit (Empatica E4 or Shimmer wrist unit) for HR, EDA and skin temperature; Polar H10 chest ECG as gold-standard HR for a 20–30% calibration subsample; ambient loggers (HOBO/Kestrel or similar) for air temperature and relative humidity (RH); pyranometer (reference shortwave sensor, e.g., class‑B pyranometer) and a 150 mm black globe thermometer per ISO 7726 for globe temperature; GPS logger (Qstarz or equivalent) for 1 Hz location. 4) Calibration: lab co-validation with simultaneous Polar H10 ECG, reference thermistor, and pyranometer to estimate device biases. Field co-location of ambient loggers and black globe against reference units pre- and post-shift. Record firmware/serial/calibration certificates. 5) MRT computation: primary method = globe-derived MRT per ISO 7726 using globe temperature, air temperature and wind speed; secondary hybrid check = radiative-balance estimate combining measured shortwave and longwave irradiance and surface albedo. Albedo and canyon geometry captured via hemispherical/skyscape photos and DSM from drone/photogrammetry; propagate uncertainty into MRT via Monte Carlo sampling of sensor error and emissivity. (Mean Radiant Temperature, MRT, is the uniform temperature of an imaginary enclosure that gives the same radiant heat exchange as actual environment.) 6) Event detection: automated shade transition flagged when Δirradiance ≥200 W/m2 OR relative irradiance drop ≥50% within 30 s OR ΔMRT ≥3°C within 30–60 s. Pilot will tune thresholds. 7) EDA preprocessing: use cvxEDA (convex optimization method to separate tonic and phasic components). Start parameters: regularization lambda tuned in lab (initial range 0.001–0.01); phasic peaks defined as deconvolved impulses with amplitude &gt;0.01 μS and minimal inter-peak interval 1 s. Compute SNR for each segment; mark segments with SNR&lt;3 dB or flat/high tonic for exclusion. 8) Motion handling: use device accelerometry to flag epochs with vector magnitude &gt;2 m/s^2 as high motion; treat flagged epochs as covariates or exclude. 9) Covariates: collect age, sex, years living/working in heat (acclimatization), hydration (urine-color chart), clothing checklist → Clo estimate, recent activity (self-report 10/30/60 min) plus accelerometry-derived activity counts, caffeine/tobacco, medications, and sleep prior night. 10) Data sync: NTP at shift start, multi-signal marker (three-clap + device button press), structured RA tablet logs. 11) Privacy: explicit opt-in consent, layered Portuguese materials, raw GPS retained internally, public outputs aggregated/fuzzed. 12) Analysis: hierarchical Bayesian time-series models with participant and site random effects, AR(1) residuals, distributed-lag terms for post-transition windows, measurement-error modeling for MRT via Monte Carlo. 13) Reproducibility: containerized scripts (Docker), provenance README, and pre-registered analysis plan.</w:t>
      </w:r>
    </w:p>
    <w:p>
      <w:r>
        <w:t xml:space="preserve"> </w:t>
      </w:r>
    </w:p>
    <w:p>
      <w:pPr>
        <w:pStyle w:val="Heading2"/>
      </w:pPr>
      <w:r>
        <w:t>Experiments</w:t>
      </w:r>
    </w:p>
    <w:p>
      <w:r>
        <w:t>Dataset: field pilot (1–2 sites, 8–12 biosensor sessions, 6–8 ambient sensor days) followed by main study across 4–6 sites with N=30–40 participants (balanced vendors/shoppers/residents). Each participant: target ≥10 valid shade-transition events. Sensors: Empatica/Shimmer wrist units, Polar H10 chest ECG subsample (20–30% of participants), black globe (150 mm), class‑B pyranometer, HOBO/Kestrel ambient loggers, Qstarz GPS. Baselines: (A) stationary ambient sensor readings in sun vs mapped shade; (B) globe-derived MRT vs irradiance-based radiative-balance MRT; (C) PPG-derived HR vs Polar H10 ECG. Primary outcomes: within-person change in MRT (°C), heart rate (bpm), EDA phasic rate (peaks/min). Evaluation metrics: posterior mean differences and 95% credible intervals, standardized effect size (Cohen’s d), root-mean-square error (RMSE) for HR validation, sensitivity/specificity and false-positive/negative rates for automated event detection, proportion of excluded EDA segments. Statistical models: hierarchical Bayesian mixed-effects with random intercepts and slopes for participant and site; distributed-lag terms for 0–2, 2–10, 10–30 min windows. Power/precision check: simulated with N=30 participants ×10 events = 300 events; expected detectable standardized effect d≈0.35 with &gt;80% posterior precision under within-subject designs; in raw HR terms this corresponds to ~1.5–3 bpm difference assuming within-person SD 4–8 bpm (report range in pre-registration). Stopping/adaptation criteria: interim after pilot and after 15 participants; increase sample if credible-interval width for key effect &gt;0.2 SD or posterior probability of effect outside ROPE (-0.1,0.1) &lt;80%. Comparison/ablation studies: 1) MRT method ablation: globe-derived MRT vs irradiance-based radiative-balance vs hybrid; 2) EDA preprocessing ablation: cvxEDA tonic removal vs simple high-pass filtering; 3) motion handling ablation: excluding high-motion epochs vs modeling motion as covariate; 4) sensor validation: PPG HR vs Polar ECG (report RMSE and bias). Report all model diagnostics, posterior predictive checks, and sensitivity analyses.</w:t>
      </w:r>
    </w:p>
    <w:p>
      <w:r>
        <w:t xml:space="preserve"> </w:t>
      </w:r>
    </w:p>
    <w:p>
      <w:pPr>
        <w:pStyle w:val="Heading2"/>
      </w:pPr>
      <w:r>
        <w:t>Risk Factors And Limitations</w:t>
      </w:r>
    </w:p>
    <w:p>
      <w:r>
        <w:t>1) EDA saturation at high humidity: RH&gt;75% may cause flat or inflated tonic EDA and loss of phasic peaks; expected exclusion rates 10–30% in the hottest/humid periods. 2) Motion artifacts: walking and handling produce PPG and EDA artifacts that reduce usable epochs and bias HR; accelerometer thresholds may exclude data and reduce effective sample size. 3) Skin-tone bias: PPG accuracy can degrade on darker skin, requiring chest-ECG subsample for correction; residual bias may remain. 4) MRT uncertainty: globe-derived MRT and radiative-balance estimates depend on sensor calibration, emissivity, albedo and DSM accuracy; propagated uncertainty may widen credible intervals. 5) GPS dropouts and urban canyon multipath reduce location accuracy and local shade assignment. 6) Recruitment bias: vendor participation may be affected by coercion concerns or refusals, limiting representativeness. 7) Privacy limits: strict aggregation/fuzzing reduces spatial detail available for public outputs. 8) Sample size and event yield: fewer than target events per participant will lower power; adaptive increases may be needed. 9) Equipment logistics: battery life, device loss, or permit denial for drone mapping can reduce data completeness. 10) Generalization: findings from Cuiabá may not generalize to other climates, seasons, or urban forms.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