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spanish_wineries_resilience</w:t>
      </w:r>
    </w:p>
    <w:p>
      <w:r>
        <w:t xml:space="preserve"> </w:t>
      </w:r>
    </w:p>
    <w:p>
      <w:pPr>
        <w:pStyle w:val="Heading2"/>
      </w:pPr>
      <w:r>
        <w:t>Title</w:t>
      </w:r>
    </w:p>
    <w:p>
      <w:r>
        <w:t>Estimating resilience capacities in rural agro-industries using structural equation modeling and spatial instruments: evidence from Spanish wineries</w:t>
      </w:r>
    </w:p>
    <w:p>
      <w:r>
        <w:t xml:space="preserve"> </w:t>
      </w:r>
    </w:p>
    <w:p>
      <w:pPr>
        <w:pStyle w:val="Heading2"/>
      </w:pPr>
      <w:r>
        <w:t>Short Hypothesis</w:t>
      </w:r>
    </w:p>
    <w:p>
      <w:r>
        <w:t>Higher internal innovation capacity causes greater adaptability in wineries, conditional on environmental exposure and rural commitment.</w:t>
      </w:r>
    </w:p>
    <w:p>
      <w:r>
        <w:t xml:space="preserve"> </w:t>
      </w:r>
    </w:p>
    <w:p>
      <w:pPr>
        <w:pStyle w:val="Heading2"/>
      </w:pPr>
      <w:r>
        <w:t>Related Work</w:t>
      </w:r>
    </w:p>
    <w:p>
      <w:r>
        <w:t>Prior quantitative work on firm resilience in rural agro-industries typically uses standard regression or descriptive indices to link firm attributes to outcomes. Common approaches aggregate survey items into mean scores or use single observed indicators, which can bias estimates when measurement error is present. Some studies use OLS or multilevel models but omit formal measurement models for latent resilience constructs (robustness, adaptability, transformability). Spatial analyses often exist in isolation and do not integrate with latent-variable inference. Instrumental variable strategies have been proposed in applied rural policy work, but instruments are rarely preregistered and falsified systematically; exclusion restrictions are often weak or untested. Mixed-methods work is used for context but is not routinely integrated into causal identification or to validate instruments. Limitations include measurement error, omitted variable bias, weak instruments, inadequate handling of spatial dependence, low transparency on weights and imputation, and limited power for subgroup claims.</w:t>
      </w:r>
    </w:p>
    <w:p>
      <w:r>
        <w:t xml:space="preserve"> </w:t>
      </w:r>
    </w:p>
    <w:p>
      <w:pPr>
        <w:pStyle w:val="Heading2"/>
      </w:pPr>
      <w:r>
        <w:t>Abstract</w:t>
      </w:r>
    </w:p>
    <w:p>
      <w:r>
        <w:t>This study measures how internal attributes of wineries (size, structure, innovation, rural commitment) affect three resilience capacities—robustness, adaptability and transformability—using survey data from 411 Spanish wineries combined with objective spatial indicators. We use a confirmatory factor analysis for multi-item latent scales (ordinal items, WLSMV estimator) and estimate a primary structural equation model (SEM) that links firm attributes and environmental, economic and social challenges to latent resilience outcomes. Robustness checks include OLS on factor scores, multilevel models, spatial regressions, and IV estimation using pre-specified instruments such as staggered regional program rollouts and distance-to-research centers. We predefine diagnostics for measurement invariance, spatial autocorrelation (Moran's I), IV strength (first-stage F or Kleibergen-Paap) and missing-data imputation (MICE m=50). Qualitative case studies will trace mechanisms and test IV plausibility. The contribution is a transparent, preregistered inferential pipeline that integrates latent measurement, spatial data, causal checks and qualitative process evidence to inform policy for rural agro-industries.</w:t>
      </w:r>
    </w:p>
    <w:p>
      <w:r>
        <w:t xml:space="preserve"> </w:t>
      </w:r>
    </w:p>
    <w:p>
      <w:pPr>
        <w:pStyle w:val="Heading2"/>
      </w:pPr>
      <w:r>
        <w:t>Methodology</w:t>
      </w:r>
    </w:p>
    <w:p>
      <w:r>
        <w:t>1. Data assembly: combine the survey of 411 wineries with geocoded firm locations and objective spatial layers (SPEI drought, fire risk, travel-time, population density, vineyard fragmentation) and administrative records (RDP rollout timing, historical co-op density). 2. Measurement: create 4-6 reflective ordinal items (5-point Likert) for each latent construct (robustness, adaptability, transformability). Run exploratory factor analysis then confirmatory factor analysis (CFA) using WLSMV, which is an estimator for ordinal data. Report factor loadings, RMSEA, CFI, TLI and reliability (Cronbach's alpha and omega). Test measurement invariance across PDO and size strata (configural, metric, scalar). If scalar invariance fails, apply partial invariance rules or alignment optimization. 3. Primary estimation: specify a structural equation model (SEM) with latent outcomes and measured predictors, including objective spatial indicators as exogenous predictors or moderators. SEM accounts for measurement error and estimates direct and indirect effects. 4. Robustness estimators: (a) OLS on factor scores with HC3 SEs and specified controls; (b) multilevel mixed models with random intercepts by region if ICC&gt;0.10; (c) spatial lag or error models if Moran's I indicates spatial autocorrelation. 5. Endogeneity checks: collect candidate instruments (municipality-level staggered RDP rollout, road-travel minutes to nearest viticulture research center, historical co-op density). Implement IV estimation (2SLS/GMM), require first-stage F&gt;10 or Kleibergen-Paap, run overidentification tests, placebo outcomes and covariate balance tests. 6. Missing data: perform multiple imputation by chained equations (MICE) with m=50 including paradata and weights where possible; run MNAR sensitivity with pattern-mixture shifts. 7. Spatial diagnostics: compute Global and Local Moran's I and Lagrange Multiplier tests on residuals; choose SAR/SDEM or MGWR per diagnostics. 8. Qualitative integration: select 8-12 purposive cases using extreme residuals and typologies; conduct process-tracing interviews to validate mechanisms and instrument exclusion. 9. Pre-registration: declare DAG, primary estimands, primary controls, multiplicity corrections, MI plan, decision rules for model choice, and reproducible code with seeds.</w:t>
      </w:r>
    </w:p>
    <w:p>
      <w:r>
        <w:t xml:space="preserve"> </w:t>
      </w:r>
    </w:p>
    <w:p>
      <w:pPr>
        <w:pStyle w:val="Heading2"/>
      </w:pPr>
      <w:r>
        <w:t>Experiments</w:t>
      </w:r>
    </w:p>
    <w:p>
      <w:r>
        <w:t>Datasets: (1) Survey of 411 Spanish wineries with 4-6 ordinal items per latent construct and firm covariates (employees, turnover band, export share, PDO, ownership, innovation measures). (2) Geospatial layers: SPEI drought index time series, MODIS/MCD64A1 fire history, travel-time grids, Corine or Sentinel vineyard maps, SRTM elevation, INE population density. (3) Administrative records: municipality-level RDP rollout years, archival co-op counts (circa 1980), locations of agronomy research/extension centers. Baselines: A. OLS on single-item or simple average indices; B. OLS on factor scores (unweighted); C. SEM without objective spatial predictors; D. Multilevel model with random intercepts. Primary evaluation metrics: CFA fit (RMSEA, CFI, TLI), reliability (alpha, omega), standardized SEM path coefficients and 95% CIs, first-stage F and Kleibergen-Paap, Sargan/Hansen p-values for overid, Moran's I p-value on residuals, AIC/BIC, RMSE for predictive checks, coverage and bias in Monte Carlo. Experimental setup: 1) Estimate CFA with WLSMV and test invariance. 2) Fit primary SEM (WLSMV with weights where supported). 3) Run pre-specified OLS models: dependent variable = latent factor score; regressors = main predictor(s) + pre-specified control set (firm age, size, PDO, exports, region fixed effects), cluster SEs by Autonomous Community or use multilevel random intercepts when ICC&gt;0.10. 4) IV tests: 2SLS where endogenous regressor is innovation uptake or program-driven investment; instruments = RDP rollout timing, distance-to-research, historical co-op density. Report first-stage, reduced-form, IV estimate, overid tests and placebo outcomes (pre-treatment firm age, founding year, unrelated service distances). 5) Spatial models: compute Moran's I; if significant fit SARlag or SARerror and compare coefficients with SEM. 6) Missing data: run MICE m=50, pool estimates; compare with complete-case. 7) Monte Carlo power simulations: 2,000 reps with factor loadings=0.6, residual variance=0.36, ICC in 0.05-0.15 range to estimate MDE for full sample and subgroups. Ablation studies: i) SEM without objective spatial layers; ii) SEM with and without IVs; iii) OLS weighted vs unweighted; iv) different buffer sizes for spatial indicators (parcel, 1 km, 5 km). Report all preregistered diagnostics and label non-preregistered analyses as exploratory.</w:t>
      </w:r>
    </w:p>
    <w:p>
      <w:r>
        <w:t xml:space="preserve"> </w:t>
      </w:r>
    </w:p>
    <w:p>
      <w:pPr>
        <w:pStyle w:val="Heading2"/>
      </w:pPr>
      <w:r>
        <w:t>Risk Factors And Limitations</w:t>
      </w:r>
    </w:p>
    <w:p>
      <w:r>
        <w:t>1. Weak instruments: RDP rollout, distance-to-research, or historical co-op density may have weak relevance or violate exclusion if correlated with persistent regional traits. 2. Measurement non-invariance: latent scales may not be comparable across PDOs or size groups, limiting cross-group inference. 3. Spatial autocorrelation: unmodeled spatial dependence can bias SEs and coefficients if not detected or modeled. 4. Nonresponse and MNAR: low or differential response rates could bias estimates; MI may not fully correct MNAR patterns. 5. Geocoding errors: mislocated firms reduce accuracy of spatial indicators and IVs tied to location. 6. Limited subgroup power: n=411 yields limited power for small subgroup analyses; subgroup MDEs may be large. 7. Computational and identification limits: complex SEM with many latent variables and IVs can encounter convergence or identification failures. 8. Exclusion restriction violations: instruments may affect outcomes through channels other than the targeted endogenous regressor. 9. Generalizability: results from Spanish wineries may not transfer to other agro-industries or countries. 10. Data availability risk: archival records for historical co-op density or precise RDP timing may be incomplete, reducing IV feasibility.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