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w:t>
      </w:r>
    </w:p>
    <w:p>
      <w:r>
        <w:t xml:space="preserve"> </w:t>
      </w:r>
    </w:p>
    <w:p>
      <w:pPr>
        <w:pStyle w:val="Heading2"/>
      </w:pPr>
      <w:r>
        <w:t>Title</w:t>
      </w:r>
    </w:p>
    <w:p>
      <w:r>
        <w:t>A cluster-randomized controlled trial evaluating the effect of fruit vouchers on household fruit affordability and consumption in peri-urban and urban Nigeria and Vietnam</w:t>
      </w:r>
    </w:p>
    <w:p>
      <w:r>
        <w:t xml:space="preserve"> </w:t>
      </w:r>
    </w:p>
    <w:p>
      <w:pPr>
        <w:pStyle w:val="Heading2"/>
      </w:pPr>
      <w:r>
        <w:t>Short Hypothesis</w:t>
      </w:r>
    </w:p>
    <w:p>
      <w:r>
        <w:t>Providing monthly fruit vouchers that cover 30–50% of baseline weekly household fruit expenditure increases household fruit consumption (grams per week per adult-equivalent) at six months compared with no vouchers.</w:t>
      </w:r>
    </w:p>
    <w:p>
      <w:r>
        <w:t xml:space="preserve"> </w:t>
      </w:r>
    </w:p>
    <w:p>
      <w:pPr>
        <w:pStyle w:val="Heading2"/>
      </w:pPr>
      <w:r>
        <w:t>Related Work</w:t>
      </w:r>
    </w:p>
    <w:p>
      <w:r>
        <w:t>Existing approaches to increase fresh fruit consumption in low- and middle-income settings include nutrition education, subsidies, price discounts, and limited voucher pilots. Randomized trials and pilot programs in similar settings have shown short-term increases in purchases and consumption when direct subsidies or vouchers are used. Limitations of prior work include small geographic scale, weak measurement of market effects (vendor prices, stock-outs), limited validation of dietary measures, short follow-up, incomplete handling of spatial spillovers between treated and untreated households, and scarce vendor-level transactional data. Prior studies often rely on uncalibrated food frequency questionnaires (FFQs) without biomarker or 24-hour recall (24HR) validation, have limited fraud controls for redemption systems, and do not present full market-equilibrium simulations of vendor supply responses or cost-effectiveness metrics needed for policy scaling.</w:t>
      </w:r>
    </w:p>
    <w:p>
      <w:r>
        <w:t xml:space="preserve"> </w:t>
      </w:r>
    </w:p>
    <w:p>
      <w:pPr>
        <w:pStyle w:val="Heading2"/>
      </w:pPr>
      <w:r>
        <w:t>Abstract</w:t>
      </w:r>
    </w:p>
    <w:p>
      <w:r>
        <w:t>Fresh fruit is often unaffordable for peri-urban and urban low-income households in Nigeria and Vietnam, contributing to poor diets. We propose a cluster-randomized controlled trial that tests whether monthly fruit vouchers reduce effective price and raise household fruit consumption. The intervention issues single-use vouchers calibrated to cover roughly 30–50% of baseline weekly fruit spending, redeemable at enrolled vendors. Primary outcome is household fruit intake in grams/week per adult-equivalent at six months, measured by a 7-day FFQ calibrated with repeated 24HRs and a biomarker substudy (vitamin C and carotenoids). The contribution is a combined household- and vendor-level evaluation: (1) rigorous ITT impact estimates, (2) causal spillover tests using spatial rings and continuous distance models, (3) vendor-price and stock response analysis, and (4) calibrated intake estimates that correct measurement error. Expected outcomes are quantified impact on intake, evidence on market responses, and operational guidelines for voucher design and scale-up.</w:t>
      </w:r>
    </w:p>
    <w:p>
      <w:r>
        <w:t xml:space="preserve"> </w:t>
      </w:r>
    </w:p>
    <w:p>
      <w:pPr>
        <w:pStyle w:val="Heading2"/>
      </w:pPr>
      <w:r>
        <w:t>Methodology</w:t>
      </w:r>
    </w:p>
    <w:p>
      <w:r>
        <w:t>Design: A cluster randomized controlled trial (cluster = neighborhood or market catchment) with clusters assigned to treatment (vouchers) or control. Randomization is stratified by city/region, baseline consumption tercile, and vendor density tercile. Buffer rule: enforce a minimum 1.5–2.0 km buffer between opposite-arm cluster centroids or exclude buffer households from the primary ITT. Voucher mechanics: issue one monthly unique single-use voucher per household; face value set to cover 30–50% of median weekly fruit spend; per-household monthly cap ≈ 5 WHO standard servings (80 g each); voucher validity 30–90 days; vendor caps per day. Measurement: all households receive a 7-day fruit-specific FFQ to estimate grams/week. A validation subsample (20–25% of households) provides two non-consecutive 24HRs (one weekday, one weekend) and a 5% weighing substudy; a biomarker subsample (8–12%) provides vitamin C and carotenoid assays; if −80°C cold chain is unavailable, collect dried blood spots (DBS) with local validation. Analysis: primary estimand is ITT effect on grams/week per adult-equivalent at 6 months. Use OLS/GLM with baseline outcome and covariates (adult-equivalents, baseline wealth, urban and vendor density, stratification fixed effects). Cluster-robust standard errors; use wild cluster bootstrap when cluster count is small. Measurement error correction: apply regression-calibration (NCI method) using 24HR subsample and propagate calibration uncertainty into standard errors. Spillovers: pre-specify ring comparisons (0–1.5 km, 1.5–3 km), a continuous kernel distance-decay model, and market-level synthetic control for vendor prices. Fraud and operations: central voucher engine issues codes, merchant app captures GPS and photo receipts, automated fraud scoring with human adjudication SLA.</w:t>
      </w:r>
    </w:p>
    <w:p>
      <w:r>
        <w:t xml:space="preserve"> </w:t>
      </w:r>
    </w:p>
    <w:p>
      <w:pPr>
        <w:pStyle w:val="Heading2"/>
      </w:pPr>
      <w:r>
        <w:t>Experiments</w:t>
      </w:r>
    </w:p>
    <w:p>
      <w:r>
        <w:t>Population and datasets: household panel in selected peri-urban and urban sites in Nigeria and Vietnam; vendor census and daily/weekly price and volume logs; 24HR validation subsample (~150–200 households per country); biomarker subsample (~80–120 participants per country); pilot dataset from a 4–6 week pilot (4 clusters, ~120 households, ~30–40 vendors) used for operational calibration. Arms: treatment clusters (vouchers) versus control clusters (no vouchers). Baseline collection: FFQ, household demographics, baseline consumption, geocoded household and vendor locations, median retail fruit prices. Sample-size scenarios: provide tables for ICC=0.01 and ICC=0.05; example operational guidance: for 0.25 SD detectable ITT effect with 80% power and 15% attrition, use 20 households/cluster and 25 clusters/arm if ICC=0.01; 20 households/cluster and 40 clusters/arm if ICC=0.05. Primary outcome metric: household fruit consumption (grams/week per adult-equivalent) at 6 months. Secondary metrics: servings/day, household fruit expenditure, biomarker concentrations (vitamin C, carotenoids), vendor price/kg, vendor daily volumes, stock-outs, redemption rate, vendor payout lag. Evaluation methods: estimate ITT using OLS/GLM with cluster-robust SEs and report 95% CIs and p-values; compute CACE/LATE via IV using assignment instrumenting redemption (first stage: binary redemption indicator); apply Romano-Wolf stepdown for primary family and BH FDR for exploratory families. Spillover and market tests: (a) ring DiD: compare treated clusters to concentric ring controls (0–1.5 km vs 1.5–3 km); (b) continuous kernel distance-decay regressions of treatment intensity on outcomes; (c) vendor fixed-effect DiD and event-study on prices and volumes during roll-out. Ablations and comparisons: 1) voucher value ablation: compare low-value (≈30% baseline spend) vs high-value (≈50% baseline spend) arms or simulated subgroups; 2) measurement ablation: compare uncalibrated FFQ ITT vs regression-calibrated ITT using 24HR; 3) buffer handling ablation: estimate ITT excluding versus including buffer households. Cost-effectiveness: compute cost per additional 100 g fruit/week and cost per unit biomarker improvement. Pre-specified significance thresholds and multiple-testing adjustments applied.</w:t>
      </w:r>
    </w:p>
    <w:p>
      <w:r>
        <w:t xml:space="preserve"> </w:t>
      </w:r>
    </w:p>
    <w:p>
      <w:pPr>
        <w:pStyle w:val="Heading2"/>
      </w:pPr>
      <w:r>
        <w:t>Risk Factors And Limitations</w:t>
      </w:r>
    </w:p>
    <w:p>
      <w:r>
        <w:t>Contamination and spillovers: treated and control households may interact via shared vendors or markets, biasing estimates. Vendor strategic responses: vendors may raise prices, restrict supply, or divert stock to exploit vouchers, changing market equilibrium. Measurement error: FFQ recall error and imperfect calibration could bias measured intake; biomarker assays and 24HRs may be noisy. Fraud and false positives: automated fraud rules may incorrectly flag legitimate redemptions, or fraud engines may miss sophisticated fraud. Attrition and differential follow-up: &gt;15% attrition or differential dropout by arm can bias results. Sample-size sensitivity: results depend on ICC assumptions; higher ICCs require larger cluster counts. Cold-chain and lab limits: inability to maintain −80°C storage may force DBS, reducing biomarker precision. External validity: peri-urban/urban results may not generalize to rural areas or other countries. Legal and data-residency constraints: cross-border data or biosample transfers may be restricted by local law. Operational scalability: vendor enrollment, payment reconciliation, and timely reimbursements may be harder at scale than in pilot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