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osh_interventions_ageing_workforce</w:t>
      </w:r>
    </w:p>
    <w:p>
      <w:r>
        <w:t xml:space="preserve"> </w:t>
      </w:r>
    </w:p>
    <w:p>
      <w:pPr>
        <w:pStyle w:val="Heading2"/>
      </w:pPr>
      <w:r>
        <w:t>Title</w:t>
      </w:r>
    </w:p>
    <w:p>
      <w:r>
        <w:t>A multilevel questionnaire study of occupational safety and health interventions and their impact on productivity and performance in an ageing workforce</w:t>
      </w:r>
    </w:p>
    <w:p>
      <w:r>
        <w:t xml:space="preserve"> </w:t>
      </w:r>
    </w:p>
    <w:p>
      <w:pPr>
        <w:pStyle w:val="Heading2"/>
      </w:pPr>
      <w:r>
        <w:t>Short Hypothesis</w:t>
      </w:r>
    </w:p>
    <w:p>
      <w:r>
        <w:t>Greater implementation dose and fidelity of workplace OSH interventions cause improvements in safety performance and productivity among ageing workers, with effects mediated by perceived usefulness and adherence.</w:t>
      </w:r>
    </w:p>
    <w:p>
      <w:r>
        <w:t xml:space="preserve"> </w:t>
      </w:r>
    </w:p>
    <w:p>
      <w:pPr>
        <w:pStyle w:val="Heading2"/>
      </w:pPr>
      <w:r>
        <w:t>Related Work</w:t>
      </w:r>
    </w:p>
    <w:p>
      <w:r>
        <w:t>Existing work shows workplace OSH interventions can improve safety and productivity, and that organizational and combined interventions often drive larger effects. However, prior studies often use single-site or non-clustered designs, lack standardized metrics for intervention dose and fidelity, underuse mixed-mode questionnaires suited to older workers, and rarely apply multilevel mediation to separate individual and site effects. Many analyses ignore informative cluster dropout and apply inadequate missing-data methods, leading to biased estimates. Economic evaluations are infrequent or simplistic, and sensory/cognitive screening is seldom integrated systematically. These gaps limit causal inference, reproducibility, and applicability to ageing workforces.</w:t>
      </w:r>
    </w:p>
    <w:p>
      <w:r>
        <w:t xml:space="preserve"> </w:t>
      </w:r>
    </w:p>
    <w:p>
      <w:pPr>
        <w:pStyle w:val="Heading2"/>
      </w:pPr>
      <w:r>
        <w:t>Abstract</w:t>
      </w:r>
    </w:p>
    <w:p>
      <w:r>
        <w:t>This study maps common occupational safety and health (OSH) interventions in workplaces with ageing staff and tests how intervention dose and fidelity affect safety performance and productivity. We propose an exploratory, cluster-based questionnaire study with mixed-mode administration and brief sensory/cognitive screening for older workers. We standardize dose and fidelity metrics across intervention types (engineering, mechanical aids, job design, assistive tech, training, surveillance) and collect basic economic inputs for ROI. Analytically, we use multilevel multiple imputation for missing data, cluster-level inverse probability weighting for informative cluster dropout, and two-level multilevel structural equation models to test mediation by perceived usefulness and adherence. Simulation-based power analysis across cluster sizes and ICCs will guide sample targets. Expected output: a reproducible protocol and analytic pipeline that produces unbiased estimates of direct and indirect effects of OSH interventions on productivity and safety for ageing workers, plus practical templates for fidelity monitoring and ROI calculation.</w:t>
      </w:r>
    </w:p>
    <w:p>
      <w:r>
        <w:t xml:space="preserve"> </w:t>
      </w:r>
    </w:p>
    <w:p>
      <w:pPr>
        <w:pStyle w:val="Heading2"/>
      </w:pPr>
      <w:r>
        <w:t>Methodology</w:t>
      </w:r>
    </w:p>
    <w:p>
      <w:r>
        <w:t>1. Study design and sampling: recruit 15–30 worksite clusters (sites) across sectors. Within each site sample workers across age bands with oversampling of older workers (e.g., 55+). Target total N ≈ 350–500. 2. Questionnaire and measures: develop a core questionnaire with modules for demographics, job type, safety outcomes (incidents, near-misses), productivity (self-rated throughput change, absenteeism), intervention exposure and standardized dose metrics per modality (e.g., % task time on modified workstation, assisted lifts/shift, wear-time %), fidelity checklist (trainer adherence %, competency pass rate %), perceived usefulness and adherence scales, brief single-item sensory/cognitive screens in the main survey (hearing, vision, memory), and consent for linkage to administrative/device logs and HR records. 3. Mixed-mode administration: offer online, paper, and interviewer-assisted modes; use large-font and audio options and identical wording. 4. Pilot: run feasibility in 3 anchor sites to test instruments, mixed modes, linkage and fidelity monitoring. 5. Missing data and dropout: assume MAR primary; collect rich auxiliaries (age, tenure, job physical demand, baseline absenteeism, HHIE-S/Mini-Cog, device logs, site-level culture metrics). Implement multilevel multiple imputation (MI) using jomo or two-level MICE (miceadds) with cluster as random effect and m≥40 imputations; fix RNG seed and record software versions. 6. Informative cluster dropout: fit cluster-response model using cluster-level auxiliaries to derive stabilized inverse probability weights (IPW); predefine truncation at 1st–99th percentiles and report effective sample size (ESS). Combine approaches in two sequences: MI then weighted analysis, and weight-then-MI, as sensitivity checks. 7. Analysis: estimate two-level multilevel structural equation models (individuals nested in sites) with latent mediators (perceived usefulness, adherence). Use bias-corrected bootstrap CIs for indirect effects (e.g., 5000 resamples). Report fit indices (CFI, RMSEA) and test measurement invariance across age bands. 8. Economics: collect implementation, training, maintenance costs and simple productivity monetization to compute 12-month ROI scenarios. 9. Reproducibility: provide annotated scripts, seeds, package versions, and diagnostic plots in appendices.</w:t>
      </w:r>
    </w:p>
    <w:p>
      <w:r>
        <w:t xml:space="preserve"> </w:t>
      </w:r>
    </w:p>
    <w:p>
      <w:pPr>
        <w:pStyle w:val="Heading2"/>
      </w:pPr>
      <w:r>
        <w:t>Experiments</w:t>
      </w:r>
    </w:p>
    <w:p>
      <w:r>
        <w:t>1. Datasets: a) Simulated datasets: generate cluster-based synthetic data varying cluster size m={20,30,50}, cluster count k={15,20,30}, ICC={0.01,0.05,0.10}, missingness mechanisms MAR and MNAR, and attrition rates {10%,20%,30%}. Include variables: intervention dose, fidelity, perceived usefulness, adherence, safety outcome (binary/incident count), productivity outcome (continuous or percent change), and cluster-level auxiliaries. b) Field dataset: primary questionnaire data from recruited worksites with linked admin/device logs and HR records where consented. 2. Baselines: A) complete-case single-level regression; B) multilevel model without imputation or weighting; C) MI-only multilevel SEM (no IPW); D) IPW-only multilevel SEM (no MI). 3. Primary comparisons/ablations: (i) MI-only vs IPW+MI pipeline; (ii) MI with cluster-level auxiliaries vs MI without cluster auxiliaries; (iii) inclusion vs exclusion of device log auxiliaries; (iv) latent mediator model vs direct-effect-only model. 4. Evaluation metrics: bias and root mean square error (RMSE) of estimated direct and indirect effects against truth (simulated), 95% CI coverage, statistical power for detecting standardized effect sizes β={0.20,0.30}, model fit indices (CFI, RMSEA), effective sample size (ESS) post-weighting, proportion of imputations converged, and sensitivity of conclusions across MNAR delta shifts (e.g., delta=0.1,0.25,0.5 SD). For field data report estimated effects, bootstrap CIs (5000 resamples), model fit, and ROI estimates with conservative/optimistic scenarios. 5. Experimental setup: run 1000 Monte Carlo replications per simulation cell. For each replication: generate data, induce missingness per mechanism, apply pipelines (complete-case, MI-only, IPW+MI weight-then-MI and MI-then-weight), fit two-level SEM and record metrics. Truncate IPW at 1st–99th and as sensitivity 5–95th percentiles. Document runtimes and compute resources used. 6. Success criteria: pipelines produce unbiased effect estimates (bias &lt;0.05 SD), CI coverage ~95% under MAR, and acceptable ESS (&gt;50% nominal) under expected dropout scenarios.</w:t>
      </w:r>
    </w:p>
    <w:p>
      <w:r>
        <w:t xml:space="preserve"> </w:t>
      </w:r>
    </w:p>
    <w:p>
      <w:pPr>
        <w:pStyle w:val="Heading2"/>
      </w:pPr>
      <w:r>
        <w:t>Risk Factors And Limitations</w:t>
      </w:r>
    </w:p>
    <w:p>
      <w:r>
        <w:t>1. Informative MNAR dropout: if nonresponse depends on unobserved outcomes, analyses may remain biased despite MI and IPW. 2. Cluster dropout or site withdrawal: loss of entire clusters reduces ability to estimate site-level effects and may invalidate multilevel assumptions. 3. Small or zero-variance clusters: clusters with very small n or no within-cluster variance can destabilize random-effect estimation and imputation. 4. Imputation model misspecification: wrong variable types or excluded predictors can lead to biased imputations. 5. Measurement error: device/admin logs may have false positives/negatives or timestamp errors, causing misclassification of fidelity or use. 6. Heterogeneous outcome types: zero-inflated counts or bounded proportions complicate imputation and SEM unless modelled correctly. 7. Limited generalization: results from sampled sectors or regions may not transfer to other industries or countries. 8. Response burden and selection bias: long surveys or frequent follow-ups may reduce participation by older or high-risk workers, causing biased samples. 9. Compute and time costs: multilevel MI, IPW diagnostics and bootstrap SEM are computationally intensive and may require high-performance computing for large simulation grids. 10. Privacy and consent constraints: limited consent for linkage to HR/device data may reduce available auxiliary information and increase missingness.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