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circular_osh_ecosystem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Applying a circular-ecosystem modelling and expert-elicitation approach to improve occupational safety and health interventions across national pilot sites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a circular-ecosystem OSH intervention that integrates multi-actor governance, continuous data flows, and iterative PDSA cycles will increase incident reporting rate by at least 20% and reduce median time-to-mitigation by at least 30% within three PDSA cycles compared to baseline single-actor practice.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single-actor or linear models for OSH interventions (for example regulation-driven enforcement, isolated training programs, or single-site trials). Other approaches focus on static indicators (injury rates, single-site safety climate surveys) or on technology-enabled surveillance without governance integration. Systems and socio-technical modelling (e.g., maturity models for Industry 4.0) and social network analyses have been applied separately to safety problems. Limitations of current methods: (1) weak integration of multi-actor governance and data flows, (2) limited cross-national comparability and harmonized minimal datasets, (3) sparse operationalization of fidelity and adaptation rules, (4) inadequate equity measures and safeguards for marginalized/informal workers, (5) modelling efforts often lack Bayesian hierarchical calibration and explicit uncertainty quantification, and (6) many evaluations omit pre-specified missing-data and identifiability checks for agent-based models.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Workplace safety interventions often fail to account for the multi-actor processes, data flows, and contextual dynamics that shape outcomes across design, implementation, evaluation, and follow-up. We propose a circular-ecosystem approach that reconceptualizes OSH interventions as iterative, multi-actor systems linked by data and governance loops. Method components include a two-phase expert elicitation to build context-mechanism-outcome (CMO) statements, a short core indicator set and minimal anonymized dataset, a seven-item fidelity composite, sentinel-site pilots across governance typologies, and a modelling pipeline mapping CMO→causal-loop diagrams→system dynamics→agent-based models. Models will be calibrated using Bayesian hierarchical methods and informed by social network analysis (SNA) of actors. Pilots will run three Plan-Do-Study-Act (PDSA) cycles with pre-specified equity triggers and stopping/scale rules. The main contribution is an operational, cross-nationally comparable package (indicators, dataset schema, governance checklist, adaptation log, and modelling workflow) that produces evidence on whether circular-ecosystem interventions improve reporting, accelerate mitigation, and reduce inequities. Expected outcome: a reproducible, field-ready protocol and calibrated models that quantify likely benefits and uncertainties for scaling.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Define core components and indicators: produce an indicator dictionary with definitions (e.g., reporting rate = reports per 1,000 worker-hours) and a minimal anonymized dataset schema (incident_id, country_code, date_time, sector_code, occupation_code, event_category, severity_flag, action_flag, action_timestamp, reporter_role, worker_age_group, gender, employment_status, workplace_pseudonym, source_system, metadata_record). 2) Expert elicitation: run two phases — exploratory semi-structured interviews to collect CMO (context-mechanism-outcome) statements, then a focus group to refine and prioritize components. CMO: a short sentence linking context, mechanism, and outcome; used as modelling input. 3) Sentinel pilots and sampling: select 3–4 sites representing governance typologies (social-partnership, centralized, decentralized, hybrid). Per-site minimum samples: SNA &gt;=30 actors, worker surveys n&gt;=100, monitoring yield 200–500 worker-months per sentinel. Equity safeguards include translated materials, anonymous reporting routes (SMS/USSD), quotas (≥30% precarious/migrant/informal or 15% floor), community liaisons, and compensation rules. 4) Fidelity instrument and psychometrics: use a seven-item fidelity composite (presence of core component, delivery dose, adherence, quality, participant responsiveness, data completeness, timeliness of corrective action). Presence and adherence are double-weighted; score items 0–10 and normalize to 0–100. Validate via Delphi weights, exploratory and confirmatory factor analysis (EFA/CFA), internal consistency, and item response theory (IRT) for short-form rules. 5) Modelling pipeline: convert CMO statements to causal-loop diagrams (CLD). Use CLD to derive system-dynamics (SD) stocks/flows and an ABM (agent-based model) parameterized by SNA (network topology, centralities) and process logs (rates). Calibration: Bayesian hierarchical models (pooling across sites while allowing heterogeneity). Priors: weakly informative (e.g., Beta for probabilities, Gamma for rates). 6) Iteration and PDSA: run three PDSA cycles per pilot (4–8 weeks each). Success per cycle: reporting ↑≥20% OR median mitigation ↓≥30%, fidelity ≥80%, differential reach ratio ≥0.8. Scale after two consecutive successful cycles. 7) Outputs: indicator dictionary, dataset schema, adaptation log template, governance checklist, and calibrated models with uncertainty quantification. Technical term explanations: CMO = short causal statement connecting context, mechanism, and outcome; CLD = diagram of feedback loops; SD = mathematical model of aggregated stocks and flows over time; ABM = simulation where individual agents act and interact; SNA = social network analysis measuring actor connections; Bayesian hierarchical model = statistical method that pools data across groups while modelling group differences.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Dataset: minimal anonymized extracts from 3–4 pilot sites representing distinct governance typologies. Each site provides: incident logs (fields above), participation registers, SNA edge/node lists, process/action logs, and worker survey responses (NOSACQ-11 or equivalent). Sample sizes: per site SNA &gt;=30, survey n&gt;=100, monitoring yield &gt;=200 worker-months. Baselines: each site’s pre-intervention data for 3 months. Design: within-site pre-post evaluation with three sequential PDSA cycles (4–8 weeks each); pooled Bayesian hierarchical analyses across sites. Primary endpoints: reporting rate per 1,000 worker-hours (primary process metric) and median time-to-mitigation (hours/days). Secondary endpoints: fidelity score (0–100), differential reach ratio (marginalized reach / overall reach), injury rate per 100 FTE/year, data latency (median hours). Statistical methods: Poisson mixed-effects regression for reporting rate (clustered by site, offsets by exposure hours); Cox or accelerated failure-time mixed models for time-to-mitigation; linear mixed models for fidelity and safety-climate scores; Bayesian hierarchical posterior comparisons for pooled inference; report 95% credible intervals. Ablation 1 (model components): compare ABM/SD pipeline using SNA-derived network topology versus randomized network topology; measure change in model predictive accuracy on held-out process logs (log-likelihood, RMSE). Ablation 2 (fidelity weights): compare default double-weighted core-item fidelity composite versus equal-weight weights; evaluate association strength with primary endpoints via mixed models (compare AIC/BIC and variance explained). Missing data plan for experiments: pre-specify multiple imputation using chained equations (including site and survey covariates), report complete-case vs imputed results, and run sensitivity tests for MNAR by varying imputation offset. Evaluation metrics: absolute and relative change in reporting rate, hazard ratio or median ratio for mitigation time, fidelity-outcome correlation, subgroup disparity ratios, and model calibration metrics (RMSE, log-likelihood). Decision rule: declare pilot cycle success when posterior probability that reporting increase &gt;=20% OR median mitigation reduction &gt;=30% exceeds 0.75.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Threshold evidence: chosen cutpoints (fidelity &gt;=90%, reporting +20%) may lack strong empirical priors and could be inappropriate for some contexts. 2) Psychometrics and sample size: per-site survey n&gt;=100 may be insufficient for stable CFA or invariance testing; larger samples may be needed (&gt;200). 3) Missing data and bias: differential nonresponse, MNAR mechanisms, and measurement error in informal sectors can bias estimates. 4) ABM identifiability and validation: some agent-level parameters may be non-identifiable; parameter recovery and synthetic-data tests are required and may fail. 5) Compute and calibration limits: Bayesian calibration and ABM sweeps can be computationally intensive and may require substantial compute hours or cloud resources. 6) Cross-site harmonization: variable data quality, coding (ISIC/ISCO mapping), and legal constraints can limit pooled analyses. 7) Data governance/legal risks: cross-border transfers and DSA implementation may be delayed by regulatory review or differences in adequacy decisions. 8) Ethics in informal sectors: consent, undue influence, and reidentification risk for vulnerable workers are real constraints. 9) Generalizability: results from 3–4 pilot sites may not generalize to all sectors or countries, particularly high-fragmentation labor markets. 10) Operational fidelity measurement: inter-observer variability in scoring 'presence' or 'adherence' can reduce reliability.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