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rawlsian_responsible_ai_tourism</w:t>
      </w:r>
    </w:p>
    <w:p>
      <w:r>
        <w:t xml:space="preserve"> </w:t>
      </w:r>
    </w:p>
    <w:p>
      <w:pPr>
        <w:pStyle w:val="Heading2"/>
      </w:pPr>
      <w:r>
        <w:t>Title</w:t>
      </w:r>
    </w:p>
    <w:p>
      <w:r>
        <w:t>A mixed-methods evaluation using responsible AI audits and participatory design to reduce inclusivity barriers for women entrepreneurs in tourism</w:t>
      </w:r>
    </w:p>
    <w:p>
      <w:r>
        <w:t xml:space="preserve"> </w:t>
      </w:r>
    </w:p>
    <w:p>
      <w:pPr>
        <w:pStyle w:val="Heading2"/>
      </w:pPr>
      <w:r>
        <w:t>Short Hypothesis</w:t>
      </w:r>
    </w:p>
    <w:p>
      <w:r>
        <w:t>Implementing a Rawlsian-informed AI intervention (explainable recommendation + human-review + visibility quotas) will increase the median bookings of the worst-off quartile of participating women entrepreneurs by at least 15% over three months compared to the status-quo platform algorithm.</w:t>
      </w:r>
    </w:p>
    <w:p>
      <w:r>
        <w:t xml:space="preserve"> </w:t>
      </w:r>
    </w:p>
    <w:p>
      <w:pPr>
        <w:pStyle w:val="Heading2"/>
      </w:pPr>
      <w:r>
        <w:t>Related Work</w:t>
      </w:r>
    </w:p>
    <w:p>
      <w:r>
        <w:t>Prior work covers algorithmic fairness for recommendation and ranking, technical audits of platform effects, explainable AI, and participatory design for socio-technical systems. Existing methods include re-ranking for exposure parity, counterfactual log analyses, differential-privacy reporting, and qualitative studies of platform impacts on entrepreneurs. Limitations: many audits treat AI as a black box and lack field trials with affected users; fairness metrics often ignore rank effects and small subgroup sample sizes; explainability methods are rarely evaluated with marginalized users; participatory studies rarely tie normative philosophical frameworks (like Rawls) to measurable indicators; cross-jurisdictional data-governance and compensation mechanisms are under-specified; and mixed-methods designs often fail to pre-register remediation thresholds or to combine qualitative voice with quantitative triggers in small-N settings.</w:t>
      </w:r>
    </w:p>
    <w:p>
      <w:r>
        <w:t xml:space="preserve"> </w:t>
      </w:r>
    </w:p>
    <w:p>
      <w:pPr>
        <w:pStyle w:val="Heading2"/>
      </w:pPr>
      <w:r>
        <w:t>Abstract</w:t>
      </w:r>
    </w:p>
    <w:p>
      <w:r>
        <w:t>This study tests whether responsibly designed AI can reduce barriers to inclusivity for women entrepreneurs in tourism. We combine participatory design, qualitative interviews, focus groups, and algorithmic audits to evaluate specific AI components (recommendation/ranking, dynamic pricing signals, matching, and translation). We operationalize Rawls' justice concepts as measurable indicators (access-to-market composite, visibility-gap ratio, procedural contestability measures, and recognition incidents) and pilot a 6-month mixed-methods intervention with a community-rooted data trust. The main contribution is an integrated, pre-registered protocol that links normative justice goals to concrete AI interventions and remediation thresholds, and that evaluates effects on the worst-off subgroup. Expected outcomes are validated measurement instruments, an audit protocol for platform logs, and evidence on whether explainability plus human-review and visibility quotas improve bookings and perceived fairness for disadvantaged women entrepreneurs. The protocol is designed to be reproducible, ethically governed, and sensitive to small-sample uncertainty.</w:t>
      </w:r>
    </w:p>
    <w:p>
      <w:r>
        <w:t xml:space="preserve"> </w:t>
      </w:r>
    </w:p>
    <w:p>
      <w:pPr>
        <w:pStyle w:val="Heading2"/>
      </w:pPr>
      <w:r>
        <w:t>Methodology</w:t>
      </w:r>
    </w:p>
    <w:p>
      <w:r>
        <w:t>Overview: Run a 6-month mixed-methods pilot combining qualitative fieldwork and computational audits. Define AI components under study: recommendation/ranking (orders listings shown to users), dynamic pricing signals (suggested price adjustments), matching (connects customers to guides/hosts), and translation (automated language conversion). For each, record inputs (profile, listing text, historical bookings, bids/promotions), outputs (rank, suggested price, match score, translated text) and decision points (when platform applies boost, price change, or auto-match).</w:t>
        <w:br/>
        <w:t>Sampling and qualitative data: recruit 30–40 women entrepreneurs with maximum variation (urban/rural, subsector, platform-affiliated/independent, formal/informal, intersectional markers). Conduct semi-structured interviews, 6–8 focus groups (6–8 participants), diaries and photovoice. Use codebook mapped to Rawls constructs: basic liberties, fair equality of opportunity, difference principle, procedural justice, recognition. Double-code 20% transcripts; aim Krippendorff's alpha ≥0.80.</w:t>
        <w:br/>
        <w:t>Quantitative measures: compute access-to-market score (0–100 composite of bookings change, visibility, conversion, lead quality, promotional access). Define visibility-gap ratio = median_visibility_worst_off / median_visibility_others. Collect platform logs when consented via hashed IDs (salted HMAC-SHA256).</w:t>
        <w:br/>
        <w:t>Interventions and simulations: implement three intervention arms in simulation or Wizard-of-Oz trials: (A) explainability + human-review (show why a rank was given and allow appeal), (B) visibility quotas (reserved boost tokens for worst-off), (C) combined intervention (A+B). Where live A/B is feasible, randomize consenting listings to arms.</w:t>
        <w:br/>
        <w:t>Analysis: run hierarchical Bayesian models for subgroup effects (effect δ ~ Normal(0,1)), supplemented by permutation and bootstrap inference for small strata. Use pre-registered remediation thresholds (disparate-impact ratio ≤0.8, visibility-gap ratio &gt;1.5) and practical-change rules (access-score change ≥10 points or worst-off bookings ≥15%).</w:t>
        <w:br/>
        <w:t>Privacy &amp; governance: store raw data in regional encrypted repositories; link logs with salted hashes; apply differential privacy for public aggregates (ε range discussed). Use community-rooted data trust to approve queries and remediation.</w:t>
      </w:r>
    </w:p>
    <w:p>
      <w:r>
        <w:t xml:space="preserve"> </w:t>
      </w:r>
    </w:p>
    <w:p>
      <w:pPr>
        <w:pStyle w:val="Heading2"/>
      </w:pPr>
      <w:r>
        <w:t>Experiments</w:t>
      </w:r>
    </w:p>
    <w:p>
      <w:r>
        <w:t>Datasets: (1) Pilot cohort data: 30–40 consenting women entrepreneurs with 30-day baseline and 90-day follow-up of impressions, clicks, inquiries, bookings, prices, promotional actions, and platform decision logs; (2) Platform anonymized logs sample: 3 months of impressions/bookings for comparable listings (for baseline distribution); (3) Simulated counterfactual ranking datasets synthetically generated from logged features; (4) Multilingual transcripts and survey responses.</w:t>
        <w:br/>
        <w:t>Baselines: (i) status-quo platform algorithm (no intervention), (ii) popularity-based ranking (rank by historical bookings), (iii) fairness-aware re-ranking that enforces exposure parity (equal exposure across groups).</w:t>
        <w:br/>
        <w:t>Primary evaluation metrics: median bookings change for worst-off quartile (absolute %), access-to-market score change (0–100), visibility-gap ratio, disparate-impact ratio (group success rate ratio), normalized discounted cumulative gain (NDCG) for relevance, subgroup calibration error (difference between predicted and observed success probabilities), and perceived fairness score (Likert mean).</w:t>
        <w:br/>
        <w:t>Secondary metrics: time-to-resolution for grievances (days), percent of appeals resolved in favor, SUS (usability), General Self-Efficacy (GSE) change, adoption retention at 3 months.</w:t>
        <w:br/>
        <w:t>Experimental setup: 1) Simulation experiments: apply re-ranking and quota algorithms to historical logs and compute exposure, bookings proxy, NDCG, and disparate-impact metrics. 2) Wizard-of-Oz trials: randomize consenting listings into three arms (A,B,C) with n≈10–15 listings per arm when live randomization not possible; collect user-facing metrics and participant surveys. 3) Live A/B test (if platform agreement obtained): randomize consenting participants' listings into arms for 90 days; track impressions, bookings, revenue. 4) Ablation studies: compare combined intervention vs explainability-only vs quota-only; compare human-review latency (24h vs 72h) effects. 5) Small-N handling: for strata with n&lt;10, run permutation tests (10k permutations) and bootstrap CIs (10k resamples); require qualitative corroboration before remediation.</w:t>
        <w:br/>
        <w:t>Statistical tests and modeling: paired pre/post tests (paired t or Wilcoxon), hierarchical Bayesian subgroup models (MCMC 4 chains, 2000 warmup, 2000 draws), report posterior probabilities P(effect&gt;0). Pre-register thresholds: median bookings increase ≥15% for worst-off or access-score increase ≥10 points to declare practical effect. Compute sensitivity analyses varying priors (Normal(0,0.5), Normal(0,2)) and DP ε values (0.1, 0.5, 1.0).</w:t>
      </w:r>
    </w:p>
    <w:p>
      <w:r>
        <w:t xml:space="preserve"> </w:t>
      </w:r>
    </w:p>
    <w:p>
      <w:pPr>
        <w:pStyle w:val="Heading2"/>
      </w:pPr>
      <w:r>
        <w:t>Risk Factors And Limitations</w:t>
      </w:r>
    </w:p>
    <w:p>
      <w:r>
        <w:t>Technical failures: inability to obtain platform logs, linkage errors between survey and logs, or insufficient consent for live A/B testing. Small sample sizes: many strata may have n&lt;10, reducing statistical power and increasing uncertainty. DP noise: applying differential privacy can add noise that obscures small effects. Model limits: hierarchical Bayesian models may require substantial compute and can be sensitive to prior choices. Biases: self-reporting bias, selective attrition, and translation artifacts in multilingual coding. Legal and jurisdictional constraints: data-transfer restrictions and enforceability of remediation/compensation may vary by country. Participant risks: disclosure of harms may expose participants to platform reprisal or social risk. Generalization limits: findings from tourism and the selected locales may not generalize to other sectors or regions. Scalability: methods relying on human review or community data trusts may be costly to scale. Evaluation limits: simulated or Wizard-of-Oz results may differ from fully deployed system behavior.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