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unpaid_care_thailand_norms</w:t>
      </w:r>
    </w:p>
    <w:p>
      <w:r>
        <w:t xml:space="preserve"> </w:t>
      </w:r>
    </w:p>
    <w:p>
      <w:pPr>
        <w:pStyle w:val="Heading2"/>
      </w:pPr>
      <w:r>
        <w:t>Title</w:t>
      </w:r>
    </w:p>
    <w:p>
      <w:r>
        <w:t>Randomized trial and short panel study of social gender norms on altruistic behavior and unpaid elderly care provision in Thailand</w:t>
      </w:r>
    </w:p>
    <w:p>
      <w:r>
        <w:t xml:space="preserve"> </w:t>
      </w:r>
    </w:p>
    <w:p>
      <w:pPr>
        <w:pStyle w:val="Heading2"/>
      </w:pPr>
      <w:r>
        <w:t>Short Hypothesis</w:t>
      </w:r>
    </w:p>
    <w:p>
      <w:r>
        <w:t>Strengthening community injunctive norms that women should be altruistic causally increases the weekly hours and incidence of unpaid eldercare provided by daughters.</w:t>
      </w:r>
    </w:p>
    <w:p>
      <w:r>
        <w:t xml:space="preserve"> </w:t>
      </w:r>
    </w:p>
    <w:p>
      <w:pPr>
        <w:pStyle w:val="Heading2"/>
      </w:pPr>
      <w:r>
        <w:t>Related Work</w:t>
      </w:r>
    </w:p>
    <w:p>
      <w:r>
        <w:t>Prior work documents large gender gaps in unpaid elderly care and links these gaps to cultural gender norms using cross-sectional surveys, qualitative interviews, and case studies. Some studies use panel data or natural experiments to examine supply of care, and a few use vignette or message experiments to test belief change. Limitations of existing approaches are: (1) heavy reliance on correlational designs that leave norm→behavior causality ambiguous; (2) limited behavioral validation (few studies triangulate self-report with observed time-use or incentivized tasks); (3) measurement gaps in validated scales for injunctive norms versus internalized altruism in local language; (4) social desirability and reporting bias not consistently addressed; and (5) sparse power for subgroup, mediation, and spillover estimation in prior field trials.</w:t>
      </w:r>
    </w:p>
    <w:p>
      <w:r>
        <w:t xml:space="preserve"> </w:t>
      </w:r>
    </w:p>
    <w:p>
      <w:pPr>
        <w:pStyle w:val="Heading2"/>
      </w:pPr>
      <w:r>
        <w:t>Abstract</w:t>
      </w:r>
    </w:p>
    <w:p>
      <w:r>
        <w:t>This study tests whether and how social gender norms about altruistic behavior influence unpaid care for elderly people in Thailand. We combine a 4-arm individual randomized intervention (control; injunctive-message; descriptive-message; bun khun identity prime) crossed with cluster-level community leader endorsement, a short prospective caregiver–elder panel (baseline + 6–12 month follow-up), and behavioral validation tasks. We pre-test and validate Thai measures of injunctive norms, descriptive norms, and internalized altruism using cognitive interviews and psychometric analyses. The main contribution is a causal estimate of norm change on real caregiving behavior, plus mediation evidence on whether internalized altruism transmits normative influence. Expected outcomes are a validated, culturally anchored measurement battery, estimates of the treatment effect on weekly hours of unpaid care (primary outcome), and robust inference on mediation, spillovers, and subgroup heterogeneity. Results will inform policy design where formal services and norm-sensitive messaging interact to shape family caregiving.</w:t>
      </w:r>
    </w:p>
    <w:p>
      <w:r>
        <w:t xml:space="preserve"> </w:t>
      </w:r>
    </w:p>
    <w:p>
      <w:pPr>
        <w:pStyle w:val="Heading2"/>
      </w:pPr>
      <w:r>
        <w:t>Methodology</w:t>
      </w:r>
    </w:p>
    <w:p>
      <w:r>
        <w:t>1) Measurement development: develop and translate items for three constructs: injunctive norms (what the community expects), descriptive norms (what people do), and internalized altruism (felt duty, e.g., bun khun/tham bun). Use forward/back translation and run cognitive interviews (n=120–150) stratified by region and urban/rural. Psychometric tests: confirmatory factor analysis (CFA) and item response theory (IRT). "Injunctive norm" means community expectation; "descriptive norm" means observed behavior in the community; "internalized altruism" means personal moral commitment.</w:t>
        <w:br/>
        <w:br/>
        <w:t>2) Randomized interventions: implement a 4-arm individual randomization (equal allocation): control, injunctive-message, descriptive-message, and bun khun identity prime. Cross with a cluster (PSU) two-arm randomization: leader endorsement vs no endorsement. Ensure randomization lists and digital assignment.</w:t>
        <w:br/>
        <w:br/>
        <w:t>3) Behavioral measures and panel: collect baseline survey from caregivers and elders, recruit caregiver–elder dyads into a short panel (baseline + one follow-up at 6–12 months). Primary outcome is weekly hours of unpaid eldercare as reported in a validated 7-day time-diary (time-diary means recording activities over seven days). Include objective behavioral tasks: anonymized small transfers to elders or pooled elder fund, and verifiable time-slot signups (phone check-ins, NGO-coordinated short visits). A validation subsample completes 7-day time-use diaries and monitored task uptake.</w:t>
        <w:br/>
        <w:br/>
        <w:t>4) Analysis plan: estimate ITT (intention-to-treat) effects of treatment arms on primary outcome with cluster-robust standard errors (cluster = PSU). Estimate CACE (complier average causal effect) for uptake. For mediation, pre-register natural direct and indirect effects (NDE/NIE) of injunctive → internalized altruism → caregiving and estimate with the Imai mediation approach and g-formula; report bootstrap CIs and sensitivity indices. Model spillovers with partial-interference multi-level models and spatial lags (spatial lag means including neighboring treatment intensity as a predictor).</w:t>
        <w:br/>
        <w:br/>
        <w:t>5) Power and design parameters: simulate power accounting for clustering (DEFF = 1 + (m−1)*ICC), expected ICC 0.02–0.05, cluster size m≈15–20, and 10–15% noncompliance. Target sample sizes as specified in experiments. All code for randomization and power sims will be archived.</w:t>
      </w:r>
    </w:p>
    <w:p>
      <w:r>
        <w:t xml:space="preserve"> </w:t>
      </w:r>
    </w:p>
    <w:p>
      <w:pPr>
        <w:pStyle w:val="Heading2"/>
      </w:pPr>
      <w:r>
        <w:t>Experiments</w:t>
      </w:r>
    </w:p>
    <w:p>
      <w:r>
        <w:t>Dataset: primary field data collected by multi-stage cluster sampling in Thailand, stratified by 5 regions × urban/rural, oversampling households with members aged 60+. Sample sizes: cognitive interviews n=120–150; behavioral pilot n≈200; main RCT sample ~1,200 caregiver respondents; caregiver–elder panel target 800–1,000 dyads.</w:t>
        <w:br/>
        <w:br/>
        <w:t>Baselines: control arm (no normative message) and three treatment arms: injunctive-message, descriptive-message, bun khun identity prime. Cluster-level factor: leader endorsement vs none. Validation subsample uses 7-day time-diary and monitored behavioral uptake.</w:t>
        <w:br/>
        <w:br/>
        <w:t>Outcomes and metrics: primary outcome = weekly hours of unpaid eldercare (continuous) validated by 7-day time-diary. Secondary outcomes = incidence of caregiving (binary), task intensity index (ADL/IADL composite), caregiver burden (adapted Zarit scale), employment adjustments (hours worked/week), and well-being (self-reported scale). Mediation metric = change in internalized altruism scale score (standardized).</w:t>
        <w:br/>
        <w:br/>
        <w:t>Evaluation and estimation: estimate mean differences in primary outcome by arm (ITT) with cluster-robust SEs and linear regression adjusted for stratification variables. Report effect sizes in hours and SD units. For binary outcomes estimate risk differences and odds ratios with clustered logistic models. For mediation estimate NDE/NIE using parametric and nonparametric methods with bootstrap (1,000 resamples). Use CACE via two-stage least squares where compliance instrumented by assignment.</w:t>
        <w:br/>
        <w:br/>
        <w:t>Ablation studies: (A) Drop cluster endorsement to estimate amplification; (B) Compare injunctive vs descriptive messages to isolate normative content; (C) Remove behavioral tasks in one sub-arm to test measurement influence. Falsification checks: placebo outcomes unrelated to caregiving, pre-trend checks where administrative data exist.</w:t>
        <w:br/>
        <w:br/>
        <w:t>Power specifics: with N≈1,200 caregivers, DEFF≈1.5, expected MDE ≈0.12–0.15 SD for continuous outcomes. Clustering and noncompliance are included in simulation code provided with pre-registration.</w:t>
        <w:br/>
        <w:br/>
        <w:t>Analysis reproducibility: all code, anonymized data products, and synthetic datasets to be archived; primary analysis follows pre-registered analysis plan using ITT and pre-specified multiple-testing corrections.</w:t>
      </w:r>
    </w:p>
    <w:p>
      <w:r>
        <w:t xml:space="preserve"> </w:t>
      </w:r>
    </w:p>
    <w:p>
      <w:pPr>
        <w:pStyle w:val="Heading2"/>
      </w:pPr>
      <w:r>
        <w:t>Risk Factors And Limitations</w:t>
      </w:r>
    </w:p>
    <w:p>
      <w:r>
        <w:t>1) Causal limits: mediator→outcome confounding may remain despite randomization, limiting mediation claims (sequential ignorability may be violated). 2) Social desirability: self-reported caregiving and norm items may be biased toward expected answers. 3) Measurement error: time-diary adherence and low literacy could reduce data quality. 4) Attrition: panel follow-up loss may bias longitudinal estimates if nonrandom. 5) Noncompliance: participants may not engage with behavioral tasks or messages, reducing power. 6) Spillovers: contamination across PSUs may bias cluster estimates and complicate inference. 7) IV validity: program rollouts or migration shocks used as instruments may violate exclusion restrictions (instrument affecting outcomes through channels other than the intended one). 8) Generalizability: findings in Thai cultural and policy context (bun khun/tham bun) may not transfer to other countries. 9) Ethical risks: normative messages could create social tensions or backlash in communities. 10) Resource constraints: field logistics, staffing, and secure data infrastructure demands may limit sample size or data validation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