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fta_mtl_impact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Estimating the causal effect of free trade agreements on marine fisheries mean trophic level using propensity-score matched difference-in-differences and staggered-adoption estimators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Signing a free trade agreement with binding fisheries provisions causes a decline in catch-weighted mean trophic level (MTL) in the coastal state's EEZ within five years of entry into force.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work links trade liberalization and trade agreements to changes in fisheries via market demand, access rights, and fleet behavior. Empirical studies have applied difference-in-differences (DiD), matching, and time-series methods to assess trade or policy impacts on fisheries or catch composition. Limitations in existing approaches include insufficient handling of selection on unobservables, staggered adoption bias in two-way fixed effects estimators, inadequate spatial spillover modeling (effort relocation and reflagging), inconsistent legal-coding of treaty provisions, measurement error in catch and trophic assignments, and weak or underpowered inference when treated clusters are few. Many studies also lack reproducible clause-level legal coding and explicit sensitivity analyses for reporting changes and non-classical measurement error.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study tests whether signing free trade agreements (FTAs), and FTAs containing binding fisheries provisions, causally affect marine fisheries sustainability measured by catch-weighted mean trophic level (MTL). We combine a global MTL panel (1950–2018) with a clause-level FTA dataset (1947–2018). Our primary estimator is the average treatment effect on the treated (ATT) using propensity score matching (PSM) followed by difference-in-differences (DiD) on the matched sample. We report staggered-adoption group-time ATTs (Callaway &amp; Sant’Anna; Sun &amp; Abraham) and spatial-DiD specifications to capture spillovers. We pre-specify covariates, balance diagnostics, event-study lead tests, multiple imputation for missing catches (MICE), SIMEX for classical measurement error, and power/MDE simulations. The main contribution is a preregistered, reproducible pipeline that bounds direct and spatial spillover effects, quantifies sensitivity to unobservables and measurement error, and maps estimated ΔMTL into biomass and economic ranges. Expected outcome: credible ATT estimates with robustness checks that inform policy trade-offs between trade liberalization and fisheries sustainability.</w:t>
      </w:r>
    </w:p>
    <w:p>
      <w:r>
        <w:t xml:space="preserve"> </w:t>
      </w:r>
    </w:p>
    <w:p>
      <w:pPr>
        <w:pStyle w:val="Heading2"/>
      </w:pPr>
      <w:r>
        <w:t>Methodology</w:t>
      </w:r>
    </w:p>
    <w:p>
      <w:r>
        <w:t>1) Data assembly: build a yearly coastal-state EEZ panel (1950–2018) linking catch-weighted MTL (from Sea Around Us / FAO) to clause-level FTA coding (party-year EIF, provisional, clause strength). Also assemble covariates: past MTL levels and 5-year slopes, total catch, species composition shares, fleet capacity (vessels/GRT), distant-water presence, RFMO overlap, bilateral seafood trade exposures (HS codes), GDPpc, governance indices, SST/chlorophyll, ENSO/PDO, and reporting-quality flags. 2) Treatment definition: primary treatments are FTA_EIF_binary and FTA_fisheries_binding (strength≥3). Record phased clause dates and produce intensity_score (normalized sum of strength-weighted clauses). Define aggregation rules for overlapping FTAs (pre-specify later-FTA precedence and alternative additive rules). 3) Propensity score and matching: estimate PS with logistic regression using only pre-treatment covariates (no post-treatment variables). Implement nearest-neighbor matching (1 and 3 NN) on logit(PS) with caliper 0.2 SD, kernel matching, entropy balancing, and CBPS as robustness. Enforce standardized mean differences |SMD|&lt;0.10 on levels and pre-trend slopes. 4) Causal estimation: run DiD on matched sample to estimate ATT. Implement staggered-adoption estimators (Callaway &amp; Sant’Anna; Sun &amp; Abraham) to produce group-time ATTs and corrected event studies. Report conventional TWFE only for comparison. 5) Spatial spillovers: construct exposure indices — inverse-distance decay (weights ∝ 1/d^α with α∈{0.5,1,2} and truncation at 200/500/1000 km), shared-EEZ boundary binary, and port-access/connectivity index; estimate spatial-DiD and include neighbor_treatment as covariate. 6) Measurement error &amp; imputation: apply MICE to impute missing species catch components (predictors: past catches, GDPpc, fleet GRT, productivity measures). Use SIMEX to correct classical measurement error in trophic assignments and produce worst/best-case MTL bounds from alternative trophic lists. 7) Falsification and sensitivity: run event-study with ≥5 leads and joint pre-trend F-test, placebo treatment-year permutations, Rosenbaum bounds for hidden bias, leave-one-out sensitivity, and placebo outcomes. 8) Power: run simulation-based power and minimum detectable effect (MDE) calculations using panel variance, AR(1) serial correlation, and cluster structure to report 80% power MDEs. 9) Reproducibility: double-code clauses, publish codebook, adjudication log, kappa, analysis code, and a Dockerized pipeline.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Sea Around Us catch and catch-weighted MTL (1950–2018), FAO catch as cross-check, clause-level FTA dataset (1947–2018) with EIF/provisional dates and clause strength, vessel registry (flag changes, GRT/vessel counts), bilateral trade (HS 03/16), governance indices, RFMO membership lists, SST/chlorophyll time series, ENSO/PDO indices. Baselines: (A) unmatched DiD (TWFE), (B) PSM only (difference in means), (C) PSM + DiD (primary), (D) entropy balancing + DiD, (E) staggered-adoption (Callaway &amp; Sant’Anna; Sun &amp; Abraham), (F) synthetic control (where treated N&lt;10). Evaluation metrics: ATT point estimate and clustered standard error, standardized mean differences (SMD) for covariate balance (target |SMD|&lt;0.10), joint pre-trend F-test p-value, Rosenbaum bound Γ for hidden bias, SIMEX-corrected ATT, MDE for 80% power, and placebo rejection rate. Experimental steps: 1) Construct EEZ panel and assign treatments (FTA_EIF_binary, FTA_fisheries_binding, intensity_score). 2) Compute propensity scores using pre-treatment covariates; perform matching variants and produce matched samples. 3) Verify balance (SMDs) and pre-trend slopes; if failed, try entropy balancing/CBPS. 4) Estimate ATT via DiD on matched sample; compute event-study with ≥5 leads. 5) Run Callaway &amp; Sant’Anna and Sun &amp; Abraham to obtain group-time ATTs. 6) Estimate spatial-DiD with neighbor exposure matrices for α∈{0.5,1,2} and truncations 200/500/1000 km. 7) Apply MICE and re-run steps 2–6 on imputed panel; apply SIMEX and report corrected ATTs. 8) Run placebo tests (random treatment years, unaffected outcomes), Rosenbaum bounds, and leave-one-out. Ablation studies: (i) estimator comparison: PSM+DiD vs entropy balancing+DiD vs TWFE vs SCM; (ii) treatment dating: EIF vs provisional vs lagged EIF (1–5 years); (iii) intensity aggregation rules: additive vs precedence; (iv) spatial exposure grids (α and truncation). Inference: cluster by country, use wild-cluster bootstrap when treated clusters are few. All analysis code and seed-controlled simulations will be archived.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1) Unobserved confounding: PSM controls observables; hidden bias may remain and invalidate ATT. 2) Small effective treated clusters: few treated countries reduce asymptotic validity and limit power; wild-cluster corrections may still be insufficient. 3) Staggered-adoption complexities: overlapping FTAs and stacked treatments complicate identification and may produce biased TWFE estimates if not fully corrected. 4) Spillovers and SUTVA violation: cross-border effort relocation, reflagging, or market spillovers can bias direct EEZ effects and complicate attribution. 5) Measurement error: trophic level assignments and reconstructed catches contain non-classical errors that SIMEX may not fully correct. 6) Reporting changes: post-FTA reporting improvements or manipulation can mimic ecological change. 7) Legal-coding subjectivity: clause scoring and intensity aggregation may vary across coders despite κ thresholds. 8) Limited ecological interpretation: MTL is an aggregate indicator and may not capture species-specific ecological outcomes or non-linear food-web effects. 9) External validity: results describe historical 1950–2018 patterns and coastal-state attribution; findings may not generalize to other time periods, inland fisheries, or non-coastal contexts.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