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mms_data_quality_modularity</w:t>
      </w:r>
    </w:p>
    <w:p>
      <w:r>
        <w:t xml:space="preserve"> </w:t>
      </w:r>
    </w:p>
    <w:p>
      <w:pPr>
        <w:pStyle w:val="Heading2"/>
      </w:pPr>
      <w:r>
        <w:t>Title</w:t>
      </w:r>
    </w:p>
    <w:p>
      <w:r>
        <w:t>A multimethod measurement and causal-inference framework using a Multi-dimensional Modularity Measurement Suite and secure data governance to quantify modularity effects in modular product families</w:t>
      </w:r>
    </w:p>
    <w:p>
      <w:r>
        <w:t xml:space="preserve"> </w:t>
      </w:r>
    </w:p>
    <w:p>
      <w:pPr>
        <w:pStyle w:val="Heading2"/>
      </w:pPr>
      <w:r>
        <w:t>Short Hypothesis</w:t>
      </w:r>
    </w:p>
    <w:p>
      <w:r>
        <w:t>Higher interface standardization causally reduces the negative effect of inter-module coupling on development lead time.</w:t>
      </w:r>
    </w:p>
    <w:p>
      <w:r>
        <w:t xml:space="preserve"> </w:t>
      </w:r>
    </w:p>
    <w:p>
      <w:pPr>
        <w:pStyle w:val="Heading2"/>
      </w:pPr>
      <w:r>
        <w:t>Related Work</w:t>
      </w:r>
    </w:p>
    <w:p>
      <w:r>
        <w:t>Existing approaches to quantify modularity fall into three groups: (1) single-index or proxy measures derived from BOMs, CAD files, or code (these simplify modularity to one number but miss key dimensions); (2) network/DSM (Design Structure Matrix) metrics that capture coupling and structure (these provide richer structural data but are often partial, noisy, and applied inconsistently); and (3) simulation or lab studies that examine mechanisms under controlled assumptions (these explore causal mechanisms but rely on synthetic or poorly calibrated data). Common limitations are: reliance on imperfect proxies (BOM/CAD/code capture only parts of architecture), inconsistent operational definitions across studies, weak handling of measurement error and collinearity among indicators, lack of standardized data-governance for cross-firm sharing, scarce longitudinal multi-firm datasets, and limited use of causal-identification techniques. As a result, prior work produces descriptive patterns but not robust, generalizable causal estimates of modularity effects.</w:t>
      </w:r>
    </w:p>
    <w:p>
      <w:r>
        <w:t xml:space="preserve"> </w:t>
      </w:r>
    </w:p>
    <w:p>
      <w:pPr>
        <w:pStyle w:val="Heading2"/>
      </w:pPr>
      <w:r>
        <w:t>Abstract</w:t>
      </w:r>
    </w:p>
    <w:p>
      <w:r>
        <w:t>Quantifying the effects of modularity in product families is difficult because modularity is multi-dimensional and industrial data are fragmented, inconsistent, and sensitive. We propose a multimethod research program that combines a Multi-dimensional Modularity Measurement Suite (MMS), secure data-governance and anonymization protocols, longitudinal field data from hardware and software firms, calibrated simulation, and econometric causal inference. MMS operationalizes seven measurable dimensions (decomposition, coupling, interface standardization, commonality/variability, integrability cost, information modularity, and evolution dynamics) with explicit indicators and scripts. The main contribution is a reproducible pipeline: auditable variable definitions, extraction scripts for DSM/BOM/code repositories, inter-rater reliability protocols, and pre-specified identification strategies (panel fixed effects, DiD, IV). Expected outcomes are validated modularity profiles, reliable causal effect estimates of modularity dimensions on outcomes (lead time, cost, defects), and public reproducible artifacts (synthetic datasets, code, and measurement templates) that balance transparency with commercial confidentiality.</w:t>
      </w:r>
    </w:p>
    <w:p>
      <w:r>
        <w:t xml:space="preserve"> </w:t>
      </w:r>
    </w:p>
    <w:p>
      <w:pPr>
        <w:pStyle w:val="Heading2"/>
      </w:pPr>
      <w:r>
        <w:t>Experiments</w:t>
      </w:r>
    </w:p>
    <w:p>
      <w:r>
        <w:t>Datasets: (A) Longitudinal artifact and operational data from 3–5 partner firms: DSM/BOM/CAD exports, software repositories (commits, diffs), interface specification documents, assembly time logs, defect/issue logs, change-sets, and team-module mappings; each firm: minimum 8–12 product releases or generations. (B) Synthetic datasets from DSM-based agent simulations calibrated to partner statistics. Baselines: (1) single-index modularity from BOM-proxy (one-number measure), (2) unstructured indicator set (raw counts without governance), (3) DSM-only coupling models. Evaluation metrics: predictive metrics (R2, RMSE, MAE) for outcome prediction; causal metrics: average treatment effect (ATE) estimates with 95% CI from DiD and IV, p-values, and robustness to falsification tests; reliability metrics: intraclass correlation coefficient (ICC) for audited indicators; network validation: observed vs predicted change-propagation probability (AUC, calibration slope). Experimental setup: (1) Feature extraction: run standardized scripts to compute per-module indicators per release (module count, module size, DSM adjacency, interface-stability index = number of interface version changes per year / total interface count); (2) Score construction: compute per-dimension scores by equal weights, PCA-based factor scores, and confirmatory factor analysis (latent-variable model); (3) Predictive models: panel fixed-effects regressions (firm and product fixed effects) with clustered SEs; (4) Causal identification: staggered DiD on natural changes in interface policy, IV using exogenous supplier contract changes or regulatory shocks as candidate instruments (report instrument relevance F-stat and exclusion discussion), and sensitivity via Oster and bounding methods; (5) Simulation calibration: run Latin-hypercube experiments over interface standardization, granularity, coupling density and heterogeneity; (6) Ablations: remove interface-standardization dimension, remove evolution dynamics, compare composite construction methods (equal weights vs PCA vs IRT) and report sensitivity of causal estimates; (7) Reliability test: audit n&gt;=30 interfaces across firms to estimate ICC and compute power (target 80% power to detect standardized effect size 0.25 requires ~100 release-observations under panel model assumptions).</w:t>
      </w:r>
    </w:p>
    <w:p>
      <w:r>
        <w:t xml:space="preserve"> </w:t>
      </w:r>
    </w:p>
    <w:p>
      <w:pPr>
        <w:pStyle w:val="Heading2"/>
      </w:pPr>
      <w:r>
        <w:t>Risk Factors And Limitations</w:t>
      </w:r>
    </w:p>
    <w:p>
      <w:r>
        <w:t>Data access and IP restrictions may limit sample size and prevent sharing of real data; measurement error in DSM/BOM/CAD and interface audit proxies can attenuate estimates (errors-in-variables); multicollinearity among modularity indicators can inflate variance of estimates and complicate interpretation; missing or irregular time stamps hinder longitudinal alignment and may bias dynamics analysis; small number of firms or releases reduces power for causal identification and external validity; simulation calibration may not capture firm-specific processes and produce model mismatch; confidentiality constraints can prevent publication of empirical datasets, limiting reproducibility; heterogeneity of domains (hardware vs software) may limit generalization of estimated effect sizes to unseen sectors; computational cost for network metrics and large repository parsing is nontrivial but moderate.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