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shrinkflation-driven measurement bias in Japan’s CPI and its macro and cross-border effects using item-level scanner data and a micro-founded DSGE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Persistent firm-level package-size reductions (shrinkflation), holding nominal package prices constant, cause a positive bias in Japan's official CPI relative to a unit-price-adjusted index (price per gram/mL), increasing measured inflation during shock episodes.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measuring inflation adjustments include: (1) official CPI methods that update weights and apply limited hedonic adjustments but often assume constant package quantities; (2) unit-value indices that use price per physical unit (e.g., price per gram) from scanner data but face coverage and matching limitations; (3) hedonic regressions that control for observable quality attributes but typically do not capture covert quantity changes or packaging-driven attribute shifts; and (4) micro studies using scanner data for price and promotion effects but with limited causal designs for package-size changes. Limitations: official CPI methods underdetect covert quantity changes; unit-value indices suffer from sample bias and SKU-matching errors; hedonic methods miss unobserved quality or ingredient shifts and reformulations; causal identification of shrinkflation vs. reformulation/promotions is weak in prior work; cross-country comparability is hampered by different unit-pricing rules and labeling standards.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firm-level package-size reductions (shrinkflation) affect measured inflation in Japan and the international transmission of those effects. We construct a shrinkflation indicator and a unit-price-adjusted CPI using item-level scanner sales, CPI microdata, and packaging-history records. At the macro level, we integrate a two-step estimation strategy: first estimate micro shrinkflation dynamics and demand substitution elasticities using event-study, difference-in-differences, and discrete-choice experiments; then calibrate and estimate a micro-founded open-economy New Keynesian DSGE with endogenous package-size choice to simulate domestic and cross-border outcomes. Main contributions: a reproducible shrinkflation indicator suite, quantified measurement bias in headline inflation with uncertainty intervals, and model-based counterfactuals of policy responses. Expected outcomes include validated shrinkflation-adjusted inflation series, estimates of welfare impact on consumers, and policy-relevant recommendations for statistical reporting and central bank monitoring.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Japan CPI microdata (item-level prices, codes, weights) covering at least 10 years; (b) scanner point-of-sale (POS) data from major retailers (timestamped SKU-level price, quantity sold, promo flags); (c) METI and industry package-size histories (net weight/volume by SKU over time); (d) scraped e-commerce catalogs and product images; (e) household expenditure survey for weighting; (f) customs/imports and global commodity price series; (g) comparable CPI microdata from one peer economy for cross-country checks. Baselines: (B1) official headline CPI; (B2) unit-value index (sales-weighted price per gram) without hedonic correction; (B3) hedonic-adjusted CPI ignoring package-size history; (B4) naive change-point detector (threshold-based). Metrics: (1) inflation bias = mean difference between official CPI inflation and shrinkflation-adjusted inflation over event windows; (2) RMSE and MAE between reconstructed unit-price series and scanner ground truth; (3) share of headline inflation attributed to shrinkflation (%); (4) bootstrapped 95% confidence intervals for bias estimates; (5) posterior credible intervals and parameter identification diagnostics for DSGE estimates; (6) change in consumer surplus (monetary units) pre/post shrinkflation events. Experimental setup: Preprocess: SKU matching (embedding + rule-based), unit normalization to grams/mL, promotion flagging, packaging-history join. Detection: apply Bai-Perron multiple change-point and PELT algorithms to net-weight series; label events with ML classifier (gradient-boosted trees) using text/image features. Causal identification: event-study on package-change dates with matched control SKUs; difference-in-differences (DiD) comparing treated SKUs to stable-size controls within brand-category; synthetic control at product-cluster level for large-brand events; IV design using exogenous input-cost shocks (commodity price spikes and imported packaging-material cost exposure) as instruments for firm shrinkflation timing. Two-step macro estimation: (1) estimate micro moments (size-change frequency, average unit-price jump on change, short-run sales elasticity) and DCE-estimated substitution elasticities (DCE = discrete choice experiment; respondents choose among product variants); (2) calibrate/estimate open-economy DSGE with Bayesian methods (Bayesian = probability-based parameter estimation producing posterior distributions). Ablations/comparisons: (A1) remove hedonic adjustments to test their contribution; (A2) remove sales-weighting to test weighting effects; (A3) use CPI-only data (no scanner) to show added value of scanner integration; (A4) compare change-point detectors (Bai-Perron vs. PELT vs. threshold). Validation: out-of-sample test on later years and peer-economy CPI microdata; placebo tests on randomly assigned change dates; pre-registered analysis plan with event windows and falsification endpoints.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and coverage: scanner data may have contractual limits, missing retailers, or regional gaps causing sample selection bias. SKU matching and attribute extraction: errors from OCR on Japanese scripts and ambiguous labeling can misclassify net weight or reformulations; expected failure modes include false positives/negatives in size-change detection. Distinguishing shrinkflation vs. reformulation: ingredient or quality changes may co-occur with size changes, making attribution uncertain. Measurement error propagation: unit-price and hedonic adjustments have uncertainty that may yield wide confidence intervals for bias estimates. Causal identification limits: DiD and synthetic control require valid control pools; instruments for IV (commodity exposures) may be imperfect. Model identification and computation: DSGE estimation with endogenous packaging choices may have weakly identified parameters and high computational cost for Bayesian inference. External validity and cross-country comparability: differing labeling, unit-pricing rules, and product mixes limit direct transfer of estimates across countries. Legal and privacy constraints: access to detailed scanner and household data may be restricted, limiting sample size and representativeness.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