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age_household_inequality_cee</w:t>
      </w:r>
    </w:p>
    <w:p>
      <w:r>
        <w:t xml:space="preserve"> </w:t>
      </w:r>
    </w:p>
    <w:p>
      <w:pPr>
        <w:pStyle w:val="Heading2"/>
      </w:pPr>
      <w:r>
        <w:t>Title</w:t>
      </w:r>
    </w:p>
    <w:p>
      <w:r>
        <w:t>Dynamic microsimulation and inequality decomposition to quantify how demographic aging and household type affect income inequality in Central and Eastern Europe</w:t>
      </w:r>
    </w:p>
    <w:p>
      <w:r>
        <w:t xml:space="preserve"> </w:t>
      </w:r>
    </w:p>
    <w:p>
      <w:pPr>
        <w:pStyle w:val="Heading2"/>
      </w:pPr>
      <w:r>
        <w:t>Short Hypothesis</w:t>
      </w:r>
    </w:p>
    <w:p>
      <w:r>
        <w:t>In Central and Eastern European countries, increases in demographic aging cause higher disposable income inequality by raising the relative share of elderly-headed single households, with the increase larger in liberal post-socialist states than in corporatist post-socialist states.</w:t>
      </w:r>
    </w:p>
    <w:p>
      <w:r>
        <w:t xml:space="preserve"> </w:t>
      </w:r>
    </w:p>
    <w:p>
      <w:pPr>
        <w:pStyle w:val="Heading2"/>
      </w:pPr>
      <w:r>
        <w:t>Related Work</w:t>
      </w:r>
    </w:p>
    <w:p>
      <w:r>
        <w:t>Existing studies measure income inequality by age using cross-sectional surveys (EU-SILC, LFS) and analyze pension effects with country-specific pension models or static tax-benefit simulators. Other work uses microsimulation to study pensions or household income but often ignores household-type transitions (formation, dissolution, multigenerational living) or models them statically. Decomposition methods (Theil, Atkinson, Shapley) are used to split inequality by source, yet cross-country comparisons are limited by inconsistent harmonization of income components, pension definitions, and equivalence scales. Causal studies on retirement effects use regression discontinuity (RD) at retirement ages or pension reforms as instruments, but they typically focus on single countries or fail to model household composition dynamics. Common limitations are: underreporting of informal/self-employment earnings, incomplete tax-benefit parametrization across countries, limited probabilistic uncertainty quantification (few studies propagate input uncertainty into inequality measures), and weak or untested instrument validity for causal claims.</w:t>
      </w:r>
    </w:p>
    <w:p>
      <w:r>
        <w:t xml:space="preserve"> </w:t>
      </w:r>
    </w:p>
    <w:p>
      <w:pPr>
        <w:pStyle w:val="Heading2"/>
      </w:pPr>
      <w:r>
        <w:t>Abstract</w:t>
      </w:r>
    </w:p>
    <w:p>
      <w:r>
        <w:t>This study quantifies how demographic aging and household type shape disposable income inequality in Central and Eastern Europe (CEE) between 2005 and 2022. We combine harmonized microdata (EU-SILC, LFS, SHARE) with demographic inputs (UN WPP, HMD) to build a dynamic microsimulation that ages individuals, simulates household transitions, and applies country-specific tax-benefit and pension rules. We compute age- and household-type disaggregated inequality measures (Gini, Atkinson, Theil) and apply decompositions (within/between and Shapley) to attribute changes to demographic composition, earnings, pensions, and transfers. We also test causal links using regression discontinuity at statutory retirement ages and instrumental-variable designs based on pension reforms. The main contribution is a reproducible, cross-country framework that isolates the demographic contribution to inequality and compares effects across liberal versus corporatist post-socialist welfare types. Expected outcomes are quantified estimates of how aging and household shifts affect inequality, country-by-country diagnostics, and policy-relevant scenario outputs for reforms affecting pensions and family transfers.</w:t>
      </w:r>
    </w:p>
    <w:p>
      <w:r>
        <w:t xml:space="preserve"> </w:t>
      </w:r>
    </w:p>
    <w:p>
      <w:pPr>
        <w:pStyle w:val="Heading2"/>
      </w:pPr>
      <w:r>
        <w:t>Experiments</w:t>
      </w:r>
    </w:p>
    <w:p>
      <w:r>
        <w:t>Datasets: harmonized EU-SILC microdata for 2005 and 2022 (person and household files), LFS for labor inputs, SHARE for older-cohort health and household patterns, national administrative aggregates (pension outlays, tax revenue), UN WPP and HMD for demographic baselines. Baselines: (B1) descriptive cross-sectional comparison (2005 vs 2022) using raw EU-SILC harmonized incomes; (B2) static tax-benefit simulation (no household transitions); (B3) dynamic microsimulation without informal-income adjustment. Proposed method: dynamic microsimulation with annual steps that includes demographic aging, household transitions (single older adult 65+, couple no children, multigenerational, single-parent), earnings and hours, pension accrual, taxes/transfers, and explicit informal-income imputation. Evaluation metrics: Gini coefficient, Atkinson index (inequality aversion 0.5, 1, 2; explain: Atkinson measures sensitivity to lower incomes), Theil entropy (decomposable), decile shares (D1/D9), AROP (at-risk-of-poverty rate), poverty gap, calibration RMSE to national aggregates (population by age-household-type, total disposable income, pension outlays), and first-stage F-statistic for IV tests (threshold F&gt;10). Experimental setup: run harmonization pipeline and IPF (iterative proportional fitting) to seed synthetic micro-populations matched to age-sex-household-type marginals; perform 500 Monte Carlo simulation runs sampling probabilistic inputs (TFR, mortality improvement rates, migration, wage growth, informal-share) from pre-specified priors; compute distributional metrics each run and report medians and 95% intervals. Comparisons/ablations: (A1) remove household-transition module to measure change in inequality estimates (tests the role of household dynamics); (A2) remove informal earnings adjustment to quantify bias from underreporting; (A3) deterministic vs probabilistic inputs to assess uncertainty propagation. Causal tests: RD at statutory retirement ages comparing outcomes just before and after retirement age using local linear regression and bandwidth selection; IV analysis using timing of pension reforms as instrument for retirement status, report first-stage strength and overidentification tests where possible. Cross-group analysis: run all experiments separately for country groups (liberal post-socialist vs corporatist post-socialist) and for key countries (e.g., Poland, Romania) as prototypes. Reproducibility: publish code, parameter sets, and synthetic microdata for runs.</w:t>
      </w:r>
    </w:p>
    <w:p>
      <w:r>
        <w:t xml:space="preserve"> </w:t>
      </w:r>
    </w:p>
    <w:p>
      <w:pPr>
        <w:pStyle w:val="Heading2"/>
      </w:pPr>
      <w:r>
        <w:t>Risk Factors And Limitations</w:t>
      </w:r>
    </w:p>
    <w:p>
      <w:r>
        <w:t>Data quality: informal and self-employment earnings are underreported in surveys, causing biased income distributions. Harmonization limits: differences in income definitions, pension subcomponents, and survey design across countries reduce comparability. Causal identification: RD and IV rely on strict assumptions (no manipulation around cutoffs, instrument exclusion) that may fail; dynamic anticipatory behavior (people change work/retirement plans before reforms) can bias estimates. Model specification: behavioral responses (labor supply, migration) and macro-fiscal feedbacks may not be fully modeled, limiting policy counterfactual realism. Uncertainty and priors: results depend on chosen probabilistic priors for fertility, mortality, migration, wage growth, and informal share. Computational cost: dynamic microsimulation with Monte Carlo runs is resource intensive and may limit full cross-country scaling. Generalization: findings apply to CEE context and to the 2005–2022 period; extrapolation beyond these countries or time frames is limited. Statistical power: causal analyses may be underpowered in smaller countries or for rare household types, producing wide confidence intervals.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