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organic_innovations_evaluation</w:t>
      </w:r>
    </w:p>
    <w:p>
      <w:r>
        <w:t xml:space="preserve"> </w:t>
      </w:r>
    </w:p>
    <w:p>
      <w:pPr>
        <w:pStyle w:val="Heading2"/>
      </w:pPr>
      <w:r>
        <w:t>Title</w:t>
      </w:r>
    </w:p>
    <w:p>
      <w:r>
        <w:t>Survey-informed on-farm strip and split-plot trials to evaluate stakeholder acceptance and agronomic performance of innovations for organic farming in Germany</w:t>
      </w:r>
    </w:p>
    <w:p>
      <w:r>
        <w:t xml:space="preserve"> </w:t>
      </w:r>
    </w:p>
    <w:p>
      <w:pPr>
        <w:pStyle w:val="Heading2"/>
      </w:pPr>
      <w:r>
        <w:t>Short Hypothesis</w:t>
      </w:r>
    </w:p>
    <w:p>
      <w:r>
        <w:t>Implementing prioritized innovations (cover crop species mixes and termination, intercropping/relay cropping, optimized organic fertilization timing, and combined mechanical weed control) causes a mean increase in crop yield of at least 10% relative to current standard practice across trial sites within two growing seasons.</w:t>
      </w:r>
    </w:p>
    <w:p>
      <w:r>
        <w:t xml:space="preserve"> </w:t>
      </w:r>
    </w:p>
    <w:p>
      <w:pPr>
        <w:pStyle w:val="Heading2"/>
      </w:pPr>
      <w:r>
        <w:t>Related Work</w:t>
      </w:r>
    </w:p>
    <w:p>
      <w:r>
        <w:t>Existing research evaluates individual practices (cover crops, intercropping, manure timing, mechanical weeding, biocontrols) typically in small plot trials, single regions, or short timeframes. Comparative studies exist for single technologies (for example single-species cover crops versus no cover), but few studies test multispecies mixes or integrated weed-control sequences at farm scale. Adoption research often uses surveys to measure attitudes but rarely links these survey data directly to measured on-farm trial outcomes. Limitations in the current literature include: low external validity from small, researcher-managed plots; limited multi-site replication across soil/climate gradients; short measurement windows that miss rotation or soil changes; inconsistent measurement protocols for soil N, weed seedbank, and pests; and selection or response bias in field-day surveys. There is also a lack of pre-registered hypotheses, sparse use of joint models that combine intention and observed performance, and few studies that include concrete economic metrics tied to measured yields and labor.</w:t>
      </w:r>
    </w:p>
    <w:p>
      <w:r>
        <w:t xml:space="preserve"> </w:t>
      </w:r>
    </w:p>
    <w:p>
      <w:pPr>
        <w:pStyle w:val="Heading2"/>
      </w:pPr>
      <w:r>
        <w:t>Abstract</w:t>
      </w:r>
    </w:p>
    <w:p>
      <w:r>
        <w:t>We address the gap between stakeholder perceptions of organic farming innovations and their measured agronomic and economic outcomes. Using survey data from attendees at organic field days in Germany to prioritize innovations, we implement multi-site, on-farm strip and split-plot trials testing cover crop species mixes and termination, intercropping/relay cropping, organic fertilization timing, and mechanical weed-control combinations. Each trial is linked to the originating farm's survey responses via unique identifiers to enable joint analysis of acceptance, intent, and observed performance. The main contribution is a reproducible pipeline that integrates representative survey weighting, standardized agronomic measurement protocols, multilevel statistical models, and region-specific decision outputs. Expected outcomes are: evidence of which innovations deliver measurable yield or weed-control gains at farm scale, quantified economic impacts (labor and gross margin), and empirically grounded recommendations for extension and policy. Results will inform targeted demonstrations and practical decision tools for German organic farmers.</w:t>
      </w:r>
    </w:p>
    <w:p>
      <w:r>
        <w:t xml:space="preserve"> </w:t>
      </w:r>
    </w:p>
    <w:p>
      <w:pPr>
        <w:pStyle w:val="Heading2"/>
      </w:pPr>
      <w:r>
        <w:t>Experiments</w:t>
      </w:r>
    </w:p>
    <w:p>
      <w:r>
        <w:t>Datasets: 1) Survey dataset collected at organic field days (respondent demographics, farm structure, adoption intent, perceived feasibility, willingness-to-pay), with sampling weights and unique farm IDs. 2) On-farm trial dataset from strip and split-plot experiments across 6 regions in Germany (minimum 4 replicates per treatment within-region where possible). 3) Auxiliary baseline registry for post-stratification (national organic farm counts by region and farm type). Baselines: A) Farmer standard practice (control strips). B) Single-innovation baselines (e.g., single-species cover crop) for within-innovation comparisons. Treatments: Cover crop mix A (legume+grass+brassica) vs single species vs control; Termination timing early vs late. Intercropping: legume+cereal relay vs monocrop. Fertilization: optimized timing protocol vs farmer timing. Mechanical weed: stale seedbed + tine weeding sequence vs standard mechanical practice. Evaluation metrics: crop yield (t/ha), yield stability (coefficient of variation across years), weed biomass (g/m2), weed seedbank change (seeds/m2), soil organic carbon (%) at 0–30 cm, mineral N (kg N/ha), pest incidence (standardized severity score), labor hours (h/ha), gross margin (€/ha). Survey outcomes: adoption intent scale (0–10), perceived feasibility (0–10). Experimental setup: randomized block design at farm level with strips sized 0.25–0.5 ha; split-plot where machinery treatments require whole-strip allocation. Minimum within-farm replicates = 3. Power calculation: pre-specify detectable effect size 10% yield increase with ICC (intra-class correlation) assumed 0.15; compute number of farms per region to achieve 80% power (documented in pre-registration). Analysis: multilevel mixed-effects models (farm and region random intercepts), propensity-score weighting to correct field-day selection bias, sensitivity analyses for missing data using multiple imputation, and Bayesian hierarchical models as robustness check (priors pre-specified). Comparison/ablation study: evaluate same agronomic treatments with and without participatory extension (field-day demo + farmer scoring) to measure effect of farmer engagement on adoption intent and subsequent on-farm compliance. Pre-registration: register primary hypotheses, primary outcome metrics, model forms, and multiple-comparison handling before trial start.</w:t>
      </w:r>
    </w:p>
    <w:p>
      <w:r>
        <w:t xml:space="preserve"> </w:t>
      </w:r>
    </w:p>
    <w:p>
      <w:pPr>
        <w:pStyle w:val="Heading2"/>
      </w:pPr>
      <w:r>
        <w:t>Risk Factors And Limitations</w:t>
      </w:r>
    </w:p>
    <w:p>
      <w:r>
        <w:t>Selection bias: field-day attendees are not a random sample of organic farmers; survey weights and propensity adjustments may not fully remove bias. Noncompliance and dropouts: farmers may not implement treatments exactly, reducing causal interpretability. Insufficient power: large between-farm variability and higher-than-expected ICC can make detecting 10% yield effects infeasible. Environmental variability: extreme weather across years can mask treatment effects and limit generalization. Measurement constraints: high-cost measurements (nitrate leaching, direct greenhouse gas flux) may be sparse and provide limited spatial coverage. Self-reported economic data (labor, prices) are subject to reporting error. Scalability limits: strip trials on 0.25–0.5 ha may not capture mechanization constraints on very large or very small farms. Data governance and privacy: linking surveys and trials requires strict consent and anonymization, which may limit public sharing. Model risks: misspecified multilevel models or unmeasured confounding may bias inference.</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