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ewaste_dismantling_cf_inventory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Field-based daily electricity-linked carbon footprint accounting for e-waste dismantling processes in China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Linking facility-level daily electricity consumption with daily dismantling volumes for five e-waste categories reduces the 90% confidence-interval width of gate-to-gate carbon footprint estimates per tonne by at least 25% compared to estimates using monthly-aggregate electricity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on e-waste carbon accounting and life cycle assessment (LCA) typically use inventory databases (e.g., ecoinvent) or national/provincial average electricity factors and literature emission factors for dismantling processes. Many rely on monthly or annual aggregated energy data and coarse allocation rules for recovered materials. Work on informal-sector emissions often uses laboratory-derived or proxy emission factors for open burning and acid leaching rather than field-derived mass-flux measurements. Limitations of current approaches include: (1) coarse temporal resolution of energy data that cannot resolve daily process variability; (2) sparse China-specific emission factors for informal practices and fugitive releases; (3) limited integration of direct field measurements with LCA models; (4) weak or inconsistent uncertainty propagation and sensitivity analysis; and (5) poor representativeness and scalability because few studies use stratified, multi-site field protocols. These gaps reduce accuracy and transparency when producing per-tonne carbon footprints for dismantling operations.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Accurate carbon accounting for e-waste dismantling in China is impeded by coarse energy data, scarce field emission factors for informal processes, and poor temporal matching between energy use and dismantling throughput. Approach: Develop a field-based accounting method that constructs a dismantling-process carbon inventory by aligning facility-level daily electricity time series with daily dismantling volumes across five e-waste categories, and by deriving China-specific emission factors for key informal processes using on-site measurements. Main contribution: A validated, open-model inventory that (1) integrates high-frequency electricity and throughput data, (2) provides process-level emission factors for open burning, acid leaching, manual dismantling and small-scale smelting, and (3) propagates uncertainty using Monte Carlo simulation. Expected outcome: more precise and transparent gate-to-gate carbon footprints (kg CO2e per tonne) with quantified uncertainty, an EF library for Chinese dismantling practices, and policy-ready metrics for intervention prioritization. (CO2e means carbon dioxide equivalent; EF means emission factor.)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Field pilot data from three stratified sites in China: formal, transitional, informal. Each site provides: sub-metered electricity time series at hourly resolution for all energy-using facilities; daily dismantling logs by e-waste type (five categories); fuel logs; transport GPS traces; and laboratory assays (&gt;=10 compositional samples per process per site) including ICP-MS and GC-MS. (2) Short-term emission campaigns: &gt;=5 tracer/flux chamber runs per activity per season (wet and dry) for open burning, acid baths, manual dismantling, and small smelters. (3) Background databases: provincial grid emission factors (CEADs or national mixes) and ecoinvent for upstream processes. Baselines: (A) Monthly-aggregate electricity accounting (current common practice). (B) Literature-derived emission factors replacing field-measured EFs. (C) Model variant without avoided-burden credits for recovered materials. Evaluation metrics: primary metric = carbon footprint per tonne (kg CO2e/t); uncertainty metric = 90% CI width of kg CO2e/t; mass-balance closure (%) = |inputs - outputs|/inputs *100; EF bias = difference vs field-derived EF (kg pollutant/t); model agreement = root mean squared error (RMSE) relative to independent top-down provincial emission estimates; sensitivity ranking via Sobol first- and total-order indices. Experimental setup: implement reproducible pipeline in Python or R with OpenLCA-compatible export. Run Monte Carlo uncertainty propagation with N=10,000 samples; use lognormal distributions for skewed EFs and normal for measurement noise. Statistical tests: paired bootstrap test (B=10,000) to compare 90% CI widths between daily-linked method and monthly-aggregate baseline; significance threshold p&lt;0.05. Ablation studies: (1) remove daily electricity–throughput linkage to quantify its impact on uncertainty and mean footprint; (2) replace measured informal-process EFs with literature proxies to quantify EF contribution to total variance; (3) withhold avoided-burden credits to measure their change in net footprint. Deliverables per experiment: median and 90% CI of kg CO2e/t, Sobol indices, mass-balance reports, and baseline vs proposed-method difference tables.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Site access and safety: informal sites may be inaccessible, leading to reliance on surrogate EFs with inflated uncertainty; this limits representativeness. 2) Measurement errors: instrument drift, sampling losses, or improper chain-of-custody can bias EFs; if drift exceeds acceptable thresholds data may be unusable. 3) Temporal coverage: two-season pilots may not capture multi-year variability; results may not generalize to atypical seasonal years. 4) Upscaling limits: three-site pilot may not cover the full technological and regional diversity required for national estimates; hierarchical models may still underrepresent rare practices. 5) Informal-process complexity: open burning and acid leaching produce highly variable, episodic emissions that are hard to capture and model accurately. 6) LCI and background-data uncertainty: upstream inventories (e.g., ecoinvent) and provincial grid factors have their own errors that propagate into final footprints. 7) Computational load: Monte Carlo with 10,000 samples and Sobol indices increases compute time and may require high-performance resources. 8) Data governance constraints: restrictions on sharing raw site data for confidentiality or legal reasons can limit reproducibility and external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