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purpose_driven_renewal</w:t>
      </w:r>
    </w:p>
    <w:p>
      <w:r>
        <w:t xml:space="preserve"> </w:t>
      </w:r>
    </w:p>
    <w:p>
      <w:pPr>
        <w:pStyle w:val="Heading2"/>
      </w:pPr>
      <w:r>
        <w:t>Title</w:t>
      </w:r>
    </w:p>
    <w:p>
      <w:r>
        <w:t>Systematic review and mixed-method empirical testing of whether corporate purpose drives strategic renewal via sensing, seizing, and reconfiguring</w:t>
      </w:r>
    </w:p>
    <w:p>
      <w:r>
        <w:t xml:space="preserve"> </w:t>
      </w:r>
    </w:p>
    <w:p>
      <w:pPr>
        <w:pStyle w:val="Heading2"/>
      </w:pPr>
      <w:r>
        <w:t>Short Hypothesis</w:t>
      </w:r>
    </w:p>
    <w:p>
      <w:r>
        <w:t>Increasing a firm's corporate purpose authenticity and clarity causes higher strategic renewal outcomes, and this effect is mediated by improved sensing, seizing, and reconfiguring capabilities.</w:t>
      </w:r>
    </w:p>
    <w:p>
      <w:r>
        <w:t xml:space="preserve"> </w:t>
      </w:r>
    </w:p>
    <w:p>
      <w:pPr>
        <w:pStyle w:val="Heading2"/>
      </w:pPr>
      <w:r>
        <w:t>Related Work</w:t>
      </w:r>
    </w:p>
    <w:p>
      <w:r>
        <w:t>Prior work addresses corporate purpose via CSR, organizational identity, and stakeholder theory and treats strategic renewal through dynamic capabilities (sensing, seizing, reconfiguring). Existing approaches are fragmented: identity and CSR studies emphasize rhetorical purpose and legitimacy but often lack standardized measures of authenticity and inclusivity; dynamic-capabilities studies explain renewal mechanics but rarely integrate purpose as an antecedent. Empirical work is dominated by cross-sectional surveys, single-case process studies, or archival text analysis, producing weak causal identification and inconsistent measurement. Text-analytics studies of purpose vary from simple keyword dictionaries to unsupervised topic models and lack annotated benchmarks. Few studies combine validated multi-item purpose scales with objective renewal outcomes over time. Limitations: (1) no widely validated short-form scales for purpose facets (aspirational, instrumental, authenticity, inclusivity); (2) weak causal designs and limited use of exogenous shocks or synthetic controls; (3) inadequate triangulation across survey, archival, and text measures; (4) little cross-context measurement invariance testing; (5) sparse use of configurational methods to capture multiple viable pathways to renewal.</w:t>
      </w:r>
    </w:p>
    <w:p>
      <w:r>
        <w:t xml:space="preserve"> </w:t>
      </w:r>
    </w:p>
    <w:p>
      <w:pPr>
        <w:pStyle w:val="Heading2"/>
      </w:pPr>
      <w:r>
        <w:t>Abstract</w:t>
      </w:r>
    </w:p>
    <w:p>
      <w:r>
        <w:t>This project addresses whether and how corporate purpose—defined by aspirational aims, instrumental links to strategy, perceived authenticity, and stakeholder inclusivity—drives firm strategic renewal. We combine a preregistered systematic literature review with a mixed-method empirical program: develop and validate short-form purpose scales (exploratory and confirmatory factor analysis, item response theory), construct a multi-source longitudinal panel (executive surveys, employee surveys, financials, patents, new-product revenues, and annotated corporate texts), and run complementary causal analyses (longitudinal structural equation models, difference-in-differences and synthetic-control event studies, system GMM, and fsQCA). Qualitative process tracing in purposively sampled cases will generate causal-process observations that map timing and mechanisms. The main contribution is an integrated, testable model showing whether purpose clarity and authenticity causally increase renewal via sensing, seizing, and reconfiguring, plus validated short-form measures and a minimal diagnostic toolkit for practice. Expected outcomes include robust effect-size estimates, validated measurement instruments, and identified boundary conditions for when purpose aids renewal.</w:t>
      </w:r>
    </w:p>
    <w:p>
      <w:r>
        <w:t xml:space="preserve"> </w:t>
      </w:r>
    </w:p>
    <w:p>
      <w:pPr>
        <w:pStyle w:val="Heading2"/>
      </w:pPr>
      <w:r>
        <w:t>Experiments</w:t>
      </w:r>
    </w:p>
    <w:p>
      <w:r>
        <w:t>Datasets: (1) Multi-source panel of publicly listed firms across 6 industries, N=300 firms, T=6 years (1800 firm-year observations); (2) Executive survey (CEOs, strategy leads) for purpose facets; (3) Employee survey sample (2,000 responses) for identity alignment and learning orientation; (4) Archival financials and R&amp;D (Compustat/Orbis), patents database for innovation counts, product-launch databases for new-product revenue share; (5) Corporate texts (annual reports, sustainability reports, press releases) with an annotated corpus (5,000 labeled paragraphs). Baselines: (A) model without purpose (only controls and dynamic capabilities); (B) cross-sectional purpose-only regressions; (C) text-only purpose indicators (dictionary model); (D) survey-only purpose indicators. Evaluation metrics: primary outcome metrics: new-product revenue share (%), number of successful strategic pivots (count), patent applications per year, time-to-pivot-success (months). Model fit and inference metrics: standardized effect sizes, mediated effect significance (bootstrap CI), R-squared, RMSEA/CFI/SRMR for SEM, AIC/BIC, and falsification/placebo test p-values. Experimental setup: Measurement pipeline: split-sample EFA (n=150 firms) → CFA (n=150 firms) → IRT (item discrimination thresholds) to yield short-form scales (4-8 items). Text pipeline: annotate 5,000 paragraphs with purpose labels, train supervised classifier (BERT-based) with 80/10/10 train/val/test splits; require interrater Cohen's kappa ≥0.7 during annotation. Causal identification: (1) Longitudinal SEM with lagged mediators (lag 1 year) to test mediation; (2) Difference-in-differences/event-study around purpose re-articulation events (treatment definition = public purpose re-articulation with third-party certification or major governance change); event window -2 to +3 years; synthetic control for selected treated firms; (3) System GMM to address dynamic panel endogeneity. Ablations and comparisons: (i) remove authenticity facet from purpose scale; (ii) replace survey purpose with text-only indicator; (iii) omit seizing mediator to test direct vs mediated effects; (iv) compare SEM mediation vs fsQCA configurational results. Power and sample notes: target N=300 firms × 6 years yields &gt;1,500 observations after attrition; power analysis indicates &gt;80% power to detect small-to-medium mediated effects (standardized indirect effect ≈0.15) at alpha=0.05. Preprocessing and controls: industry and year fixed effects, firm fixed effects, firm size, leverage, prior innovation, and governance controls. Robustness: placebo events, alternative lag structures, and sub-sample invariance tests across ownership types.</w:t>
      </w:r>
    </w:p>
    <w:p>
      <w:r>
        <w:t xml:space="preserve"> </w:t>
      </w:r>
    </w:p>
    <w:p>
      <w:pPr>
        <w:pStyle w:val="Heading2"/>
      </w:pPr>
      <w:r>
        <w:t>Risk Factors And Limitations</w:t>
      </w:r>
    </w:p>
    <w:p>
      <w:r>
        <w:t>Measurement risk: surveys may suffer low response or social-desirability bias, and short-form scales may not fully capture cultural variation. Text risk: supervised classifiers may mislabel nuanced authenticity signals; annotation bias can affect validity (depends on annotator training). Causal risk: treated events (purpose re-articulations) may be endogenous to unobserved shocks, limiting causal claims even with synthetic controls or IVs. Data bias: public firms overrepresent developed-market governance forms; results may not generalize to private, small, or non-Western firms. Statistical risk: mediation in longitudinal panels requires sufficient temporal separation and can be biased by omitted time-varying confounders. Scalability and compute: fine-tuning large language models for text classification and running system GMM on large panels require substantial compute resources. Generalization limits: configurational fsQCA findings reveal equifinal pathways but are case-sensitive and may not generalize numerically; qualitative process-tracing produces deep causal narratives but limited external validity.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