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Quantifying land-use and land-cover change impacts on ecosystem service value in Qianyang County using spatial statistics and PLUS-model scenario simulations</w:t>
      </w:r>
    </w:p>
    <w:p>
      <w:r>
        <w:t xml:space="preserve"> </w:t>
      </w:r>
    </w:p>
    <w:p>
      <w:pPr>
        <w:pStyle w:val="Heading2"/>
      </w:pPr>
      <w:r>
        <w:t>Short Hypothesis</w:t>
      </w:r>
    </w:p>
    <w:p>
      <w:r>
        <w:t>Conversion of natural vegetation to cropland or built-up areas in Qianyang County between 2007 and 2022 causes a measurable reduction in per-area ecosystem service value that results in a statistically significant decline in total county ecosystem service value by 2050 under a business-as-usual PLUS-model projection compared with a conservation scenario.</w:t>
      </w:r>
    </w:p>
    <w:p>
      <w:r>
        <w:t xml:space="preserve"> </w:t>
      </w:r>
    </w:p>
    <w:p>
      <w:pPr>
        <w:pStyle w:val="Heading2"/>
      </w:pPr>
      <w:r>
        <w:t>Related Work</w:t>
      </w:r>
    </w:p>
    <w:p>
      <w:r>
        <w:t>Existing studies combine multi-temporal satellite maps with ecosystem service valuation tools (for example, using Landsat/Sentinel imagery to map land cover and InVEST to estimate services). Spatial statistics (Moran's I, Getis-Ord Gi*) are commonly used to detect clustering of high or low service values. Scenario models such as CA-Markov, FLUS, and PLUS (a patch-generating land-use simulation model) are used to project future land-use. Common limitations are: reliance on per-class global value coefficients that are not locally calibrated, weak propagation of classification error into service estimates, limited use of SAR-optical fusion under persistent cloud, inconsistent handling of mixed-resolution datasets (e.g., 10 m vs 30 m), and few studies that jointly quantify uncertainty across classification, valuation coefficients, and scenario model parameters. Many studies validate only classification accuracy and do not validate scenario backcasts or propagate area-adjusted uncertainty into final ecosystem service value maps.</w:t>
      </w:r>
    </w:p>
    <w:p>
      <w:r>
        <w:t xml:space="preserve"> </w:t>
      </w:r>
    </w:p>
    <w:p>
      <w:pPr>
        <w:pStyle w:val="Heading2"/>
      </w:pPr>
      <w:r>
        <w:t>Abstract</w:t>
      </w:r>
    </w:p>
    <w:p>
      <w:r>
        <w:t>This study analyzes how land-use and land-cover (LULC) changes affect ecosystem service value (ESV) in Qianyang County by combining historical high-resolution LULC maps, spatial statistics, and PLUS-model scenario simulations to 2050. We translate 2007–2022 30 m LULC data into service estimates using locally calibrated value coefficients and run InVEST modules (simple tools that estimate services such as carbon and water) to map ESV. Spatial clustering and autocorrelation tests (Moran's I, Getis-Ord Gi*; simple measures of how values group in space) will identify hotspots of loss or gain. We simulate alternative futures with the PLUS model (a spatial model that grows land patches) under business-as-usual, conservation, agricultural expansion, and urban-control scenarios. Key contributions are: (1) a reproducible pipeline that propagates classification uncertainty into ESV via joint Monte Carlo sampling; (2) evaluation of SAR-optical fusion effects on class separability; and (3) spatially explicit scenario-based ESV forecasts to inform land management. Expected outcomes are robust, uncertainty-aware maps of past and future ESV and quantitative comparisons across policy scenarios.</w:t>
      </w:r>
    </w:p>
    <w:p>
      <w:r>
        <w:t xml:space="preserve"> </w:t>
      </w:r>
    </w:p>
    <w:p>
      <w:pPr>
        <w:pStyle w:val="Heading2"/>
      </w:pPr>
      <w:r>
        <w:t>Experiments</w:t>
      </w:r>
    </w:p>
    <w:p>
      <w:r>
        <w:t>Datasets: 30 m LULC raster maps for Qianyang County for 2007, 2012, 2017, 2022 (primary); Landsat TM/ETM+/OLI and Sentinel-2 surface reflectance for classification; Sentinel-1 SAR VV/VH (radar) for cloud-prone areas; SRTM 30 m DEM; soil and administrative layers; field validation plots (target 200 plots with biomass and SOC samples); household survey sample n=600. Baselines: (A) static extrapolation of 2007 LULC to 2050 (no spatial dynamics); (B) CA-Markov projection; (C) FLUS runs where available; (D) PLUS-model runs without uncertainty propagation. Metrics: LULC classification: overall accuracy, producer's and user's accuracy per class, Kappa, area-adjusted class area estimates with 95% confidence intervals (CI); scenario model: Figure of Merit (FoM), Kappa for backcasting (train on 2007-2017, predict 2022), and normalized RMSE for spatial allocation; ESV outputs: total county ESV change (monetary units), per-class ESV per ha, spatial clustering metrics (Moran's I with p-value, Getis-Ord Gi* z-scores), and 95% CI on ESV from Monte Carlo. Experimental setup: 1) LULC mapping: produce classification ensembles (Random Forest, XGBoost, and stacked ensemble). Produce confusion matrices and area-adjusted estimates. 2) Uncertainty propagation: perform 1,000 Monte Carlo iterations where for each iteration (a) sample classification maps using confusion-matrix-based resampling (this accounts for classification error), (b) sample ES coefficients from defined distributions (Costanza-based priors vs locally calibrated means), and (c) sample key PLUS parameters (transition probabilities, neighborhood weights). For each iteration run InVEST modules to produce ESV maps and record totals. 3) Scenario simulation: calibrate PLUS using 2007–2017 transitions, validate by predicting 2022 and computing FoM/Kappa; then run four 2050 scenarios (business-as-usual, conservation, agricultural expansion, urban-control) with 100 stochastic ensemble runs each. 4) Ablation studies: (i) with vs without Sentinel-1 SAR fusion to test cloud-area separability; (ii) with vs without uncertainty propagation to quantify its effect on ESV CI; (iii) ES coefficient source comparison: global Costanza values vs locally calibrated coefficients. 5) Statistical tests: test hypothesis by comparing 2050 BAU ensemble distribution of total ESV with conservation scenario distribution using two-sample permutation test (alpha=0.05).</w:t>
      </w:r>
    </w:p>
    <w:p>
      <w:r>
        <w:t xml:space="preserve"> </w:t>
      </w:r>
    </w:p>
    <w:p>
      <w:pPr>
        <w:pStyle w:val="Heading2"/>
      </w:pPr>
      <w:r>
        <w:t>Risk Factors And Limitations</w:t>
      </w:r>
    </w:p>
    <w:p>
      <w:r>
        <w:t>Classification errors: confusion between paddy, seasonally flooded wetlands, and upland cropland may bias ESV; error can concentrate in transition zones. Coefficient uncertainty: local ecosystem service value coefficients may be scarce or biased, causing large monetary uncertainty. Data gaps: persistent cloud or missing historical high-resolution imagery may limit classifier training; Sentinel-1 may not fully resolve some land types. Field data limits: fewer than planned field plots or low survey response rates will reduce validation and local calibration power. Model structural limits: PLUS assumes patch growth rules that may not capture institutional or abrupt policy shifts. Backcasting validity: calibrated scenario models may fit past transitions but still fail to predict novel drivers. Computational cost: Monte Carlo propagation with 1,000 iterations and multiple PLUS ensembles is compute-intensive and may exceed available resources. Scale mismatch: fusing 10 m and 30 m data may introduce resampling artifacts and affect area estimates. Generalization: results and locally calibrated coefficients are specific to Qianyang County and may not transfer to other regions without re-calibration. Ethical/data governance: household survey data require proper consent and anonymization; failures here are legal and ethical risks.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