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dvt_motivation_scale_arthro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Development and validation of a Protection Motivation Theory based scale to predict postdischarge anticoagulant adherence after hip and knee arthroplasty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baseline scores on a Protection Motivation Theory (PMT) based motivation scale cause higher objective adherence (≥80% of prescribed doses) to postdischarge anticoagulant prophylaxis during the prescribed prophylaxis window.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includes generic medication-adherence questionnaires, belief-about-medicine inventories, and behavior-theory-based measures (including prior uses of Protection Motivation Theory) applied in chronic disease or general surgical populations. Limitations: most tools are long and not specific to post-arthroplasty anticoagulation; few were validated against objective adherence measures (electronic monitors or pharmacy records); sample sizes were often small and single-site; measurement invariance across drug types (DOAC vs LMWH), languages, and low-literacy groups is rarely tested; and linkage to clinical outcomes (symptomatic VTE, major bleeding) is sparse because events are rare. No brief, psychometrically validated PMT-based scale currently targets motivation for postdischarge DVT prophylaxis with pre-specified, clinically actionable cutoffs.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to develop and validate a brief, theory-based motivation scale grounded in Protection Motivation Theory (PMT) to predict adherence to prescribed postdischarge anticoagulant prophylaxis after elective hip or knee arthroplasty. The approach uses mixed methods: generate candidate items from literature, expert input, and patient interviews; refine items via cognitive interviews; and perform multisite psychometric testing with objective adherence measurement. Main contributions are (1) a concise 6–10 item PMT-derived instrument with demonstrated factor structure, reliability (internal consistency and short-term stability), and measurement invariance across key subgroups, and (2) criterion validation against objective adherence (electronic pillbox/pharmacy refill) with pre-specified actionable cutoffs for clinical triage. Expected outcome: a validated, EMR-embeddable screening tool that identifies patients at high risk of nonadherence so clinicians can target adherence support and potentially reduce postdischarge VTE events.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multisite clinical sample of adults (≥18) undergoing elective primary total hip or total knee arthroplasty discharged to home with planned pharmacologic prophylaxis ≥14 days; pilot n=50–100; validation n=300–500 across at least 4 sites ensuring diversity in anticoagulant type (DOAC vs LMWH), language, age, and literacy. Primary objective adherence dataset: continuous electronic pillbox monitor records (timestamped openings) during prophylaxis window. Secondary adherence sources: pharmacy refill records (dates/quantities) and structured pill counts. Baselines for comparison: (a) beliefs-about-medicines questionnaire score, (b) single-item intention measure, (c) demographic/clinical risk model (age, renal function, prior VTE). Evaluation metrics: AUC-ROC for predicting nonadherence (&lt;80% doses taken) (AUC measures discrimination: 0.5=no better than chance, 1=perfect); sensitivity, specificity, positive/negative predictive values at chosen cutoffs; calibration (Brier score, calibration plots); internal consistency (Cronbach's alpha; alpha is a measure of how closely related items are), McDonald's omega; test-retest reliability (ICC, intraclass correlation coefficient over 7–14 days); factor analysis fit indices (EFA with oblique rotation, parallel analysis; CFA with CFI/TLI ≥0.95, RMSEA ≤0.06, SRMR ≤0.08); construct validity correlations (Spearman/Pearson) with baseline scales; predictive validity for 90-day symptomatic VTE and major bleeding (odds ratios and time-to-event Cox models). Experimental setup: split validation sample 50/50 for EFA and CFA; reserve n≈40–60 for test-retest; pre-specify primary adherence measure as electronic pillbox; handle missing item responses using full-information maximum likelihood (FIML) or multiple imputation and predefine thresholds for item retention (factor loading ≥0.40, cross-loading &lt;0.30). Ablation and comparisons: (1) full candidate scale vs reduced 6-item version selected by item response and predictive performance; (2) scale vs baseline models (beliefs questionnaire and demographic model); (3) mode comparison (electronic self-administered vs paper vs phone interviewer) assessing measurement differences and differential item functioning (DIF). Subgroup analyses: invariance testing across DOAC vs LMWH, age (&lt;65/≥65), language, and injection-experience groups. Power notes: aim for ≥300 to support factor analyses and for ROC tests assume 25–40% nonadherence to yield sufficient events; adjust total n if observed nonadherence is lower.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Low event rates for symptomatic VTE will limit power to detect associations with clinical outcomes (VTE is rare); objective adherence devices can fail or be opened without dosing (device error leading to measurement error); selection bias if participants who agree differ systematically from nonparticipants (limits generalizability); social desirability and clinician-administered modes may inflate self-reported motivation (response bias); cultural or literacy differences may alter item interpretation (measurement noninvariance); switching anticoagulant type post-discharge complicates adherence measurement and comparisons; causal inference is limited because baseline motivation may correlate with unmeasured confounders that also affect adherence (observational association, not proof of causation); subgroup analyses may be underpowered if sample sizes within strata are small; and implementation constraints (EMR integration, clinic workflow) could limit real-world uptake.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