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A trade-off corporate finance model combining cost-of-leverage and Merton structural methods to compute optimal bank capital and capital requirements</w:t>
      </w:r>
    </w:p>
    <w:p>
      <w:r>
        <w:t xml:space="preserve"> </w:t>
      </w:r>
    </w:p>
    <w:p>
      <w:pPr>
        <w:pStyle w:val="Heading2"/>
      </w:pPr>
      <w:r>
        <w:t>Short Hypothesis</w:t>
      </w:r>
    </w:p>
    <w:p>
      <w:r>
        <w:t>An increase in implicit deposit subsidy τ causally raises bank leverage L and lowers capital ratios, holding asset risk, tax policy, and observable controls constant.</w:t>
      </w:r>
    </w:p>
    <w:p>
      <w:r>
        <w:t xml:space="preserve"> </w:t>
      </w:r>
    </w:p>
    <w:p>
      <w:pPr>
        <w:pStyle w:val="Heading2"/>
      </w:pPr>
      <w:r>
        <w:t>Related Work</w:t>
      </w:r>
    </w:p>
    <w:p>
      <w:r>
        <w:t>Existing research follows two main strands. One strand uses trade-off corporate finance ideas that weigh tax shields and agency gains from debt against bankruptcy costs, but it often treats default and liquidity risk in reduced form and omits endogenous risk-shifting by shareholders. A second strand uses structural default models (Merton-type) to map asset shocks into default probabilities, but typical Merton calibrations ignore tax shields, liquidity premia, and agency-driven risk intensity. Empirical work measures systemic externalities via market-based metrics (CoVaR, SRISK, MES) and estimates leverage responses using reduced-form panel regressions, difference-in-differences, or GMM; these methods struggle with endogeneity of subsidy and systemic-risk measures and with identifying marginal functions like p'(L) and ψ(L). Prior integrated approaches combining cost-of-leverage corrections for liquidity with Merton-style default mapping are limited, lack clear parametric benchmarks, and do not provide identification checks or Monte-Carlo power analyses for key structural parameters.</w:t>
      </w:r>
    </w:p>
    <w:p>
      <w:r>
        <w:t xml:space="preserve"> </w:t>
      </w:r>
    </w:p>
    <w:p>
      <w:pPr>
        <w:pStyle w:val="Heading2"/>
      </w:pPr>
      <w:r>
        <w:t>Abstract</w:t>
      </w:r>
    </w:p>
    <w:p>
      <w:r>
        <w:t>We study optimal bank capital by building a tractable model that integrates a cost-of-leverage view (which captures tax shields and liquidity premia) with a Merton-style structural default map (which links asset shocks to default probabilities). The model introduces an implicit deposit subsidy τ, a systemic externality B, and a risk-shifting function ψ(L) that raises asset return mean and variance as leverage L increases. Main contributions are: (1) a one-page parametric benchmark with explicit functional forms for p(L) (default probability), ψ(L) (marginal shareholder upside/risk-shifting), r(L) (risk intensity), and the asset-return law; (2) an empirical mapping from model parameters to observable moments (default rates by leverage bins, funding spreads, CoVaR/SRISK, loan-level losses); and (3) calibrated Monte-Carlo experiments and policy counterfactuals that produce p'(L), ψ(L), welfare-loss integrals, and regulator-ready capital schedules. Expected outcome: a replicable framework that identifies when private leverage exceeds social optima and quantifies welfare gains from pricing subsidies and capital buffers. (Technical terms: p'(L) is the slope of default probability with leverage; ψ(L) is how shareholder incentives change with leverage.)</w:t>
      </w:r>
    </w:p>
    <w:p>
      <w:r>
        <w:t xml:space="preserve"> </w:t>
      </w:r>
    </w:p>
    <w:p>
      <w:pPr>
        <w:pStyle w:val="Heading2"/>
      </w:pPr>
      <w:r>
        <w:t>Experiments</w:t>
      </w:r>
    </w:p>
    <w:p>
      <w:r>
        <w:t>Datasets: bank-level panel: FFIEC Call Reports (US), FR Y-9C consolidated bank data, EBA/ECB bank balance-sheet panel (EU), supervisory loan-level credit registers where accessible, market data (stock prices, CDS, bond spreads), and computed systemic measures (CoVaR, SRISK, MES). Time span: 1995–2023 where available; frequency: annual and quarterly. Baselines: (A) reduced-form fixed-effects (FE) regressions of leverage on τ proxies and controls; (B) pure Merton structural calibration (no tax/liquidity premium); (C) Fernandez cost-of-leverage model (liquidity premium adjusted, no endogenous ψ); (D) full integrated model (proposed). Evaluation metrics: parameter recovery bias and RMSE for ψ(L) and p'(L) in Monte-Carlo; empirical fit: R-squared on leverage; out-of-sample default prediction AUC; change in capital ratio and leverage (% points); welfare loss integral value (numeric); tail risk: 99% VaR and 97.5% CVaR of portfolio losses; crisis-frequency reduction under counterfactual capital rules. Empirical identification: difference-in-differences (DID) around deposit-insurance reforms and resolution-rule changes; instrumental variables (IV) using regulatory implementation dates, cross-jurisdiction rule discontinuities, and lender-of-last-resort announcements with stated exclusion restrictions. Structural estimation: match moments (mean leverage by bank-size bin, default rates by leverage bin, funding spreads, CoVaR quantiles) using gradient-based calibration; report standard errors via bootstrapped Monte-Carlo (1,000 reps). GMM: system GMM with limited instrument set (max 5 instruments) and Hansen/Kleibergen diagnostics. Monte-Carlo design: N=500 banks, T=20 years, 1,000 replications; noise levels: idiosyncratic shock sd=0.2, measurement-error sd relative=0.15 for SRISK/CoVaR; weak-IV scenario with first-stage F≈5 and strong-IV F&gt;15. Ablations: (i) set ψ(L)=0 (no risk-shifting) vs estimated ψ(L); (ii) set liquidity premium=0 vs estimated liquidity premium; (iii) exclude market-based systemic measures and re-estimate. Reporting: parameter estimates with confidence intervals, power statistics, and comparison tables of baselines vs integrated model for all metrics.</w:t>
      </w:r>
    </w:p>
    <w:p>
      <w:r>
        <w:t xml:space="preserve"> </w:t>
      </w:r>
    </w:p>
    <w:p>
      <w:pPr>
        <w:pStyle w:val="Heading2"/>
      </w:pPr>
      <w:r>
        <w:t>Risk Factors And Limitations</w:t>
      </w:r>
    </w:p>
    <w:p>
      <w:r>
        <w:t>Identification risks: τ and B proxies (funding spreads, SRISK, CoVaR) are endogenous to leverage and macro shocks, risking biased estimates and weak instruments. Measurement error: market-based systemic metrics are noisy and time-varying, degrading parameter recovery. Data access: loan-level and interbank network data are often restricted, reducing sample size and generalizability. Model misspecification: chosen parametric forms for p(L), ψ(L), and r(L) may not match real behavior, producing biased welfare estimates. Multiple equilibria: bank runs or coordination failures can create non-unique equilibria, breaking comparative-statics and concavity assumptions. Econometrics: system GMM and dynamic panels face small-sample bias and instrument proliferation issues. Computation: structural calibration with tail dependence and copulas is compute-intensive for large Monte-Carlo draws. External validity: calibrated parameters from one country/period may not transfer to others or to crisis regimes. Partial equilibrium limits: the model may omit general-equilibrium feedbacks (credit supply → macro output → bailout capacity), biasing long-run welfare and policy counterfactuals.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