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satisfaction_revenue_sustained_effects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sustained causal effects of customer satisfaction on individual bank revenue using panel causal-inference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increase in an individual customer's satisfaction causes a sustained positive change in that customer's bank revenue over 1 to 4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finds correlations between customer satisfaction and bank-level or cohort-level revenue using cross-sectional regressions, aggregate time series, short-run experiments, and coarse cohort comparisons. Common approaches include fixed-effect panel regressions, difference-in-differences (DiD) for rollouts, instrumental variables (IV) for limited exogenous variation, synthetic control for single-site interventions, and supervised machine learning (including causal forests) for heterogeneity. Limitations in prior work are: reliance on aggregate or coarse cohort data rather than linked survey-to-transaction panels; short follow-up horizons (often under 12 months); measurement error in satisfaction (single-question NPS/CSAT) not formally corrected; weak or implausible instruments; biases from staggered treatment timing when using naive DiD; and limited translation of behavioral estimates into product-level revenue (P&amp;L) impacts.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higher customer satisfaction causally increases individual-level bank revenue and whether that effect is sustained over one to four years. We use a panel of survey responses linked to objective transaction and product-holding records for individual retail customers, and combine randomized trial analyses where available with robust quasi-experimental methods where trials are absent. The core approach applies unit and time fixed-effect models, cohort-corrected staggered DiD, instrumental-variable checks, and dynamic impulse-response estimation (local projections) to map revenue responses by horizon. We incorporate measurement-error correction for satisfaction using latent-score models (simple statistical models that estimate a true satisfaction score from multiple survey items) and explore heterogeneity with causal-forest models (tree-based methods that find where effects differ). The main contribution is a transparent, multi-method causal assessment that quantifies cumulative present-value revenue effects by satisfaction tier and product type. Expected outcomes are credible estimates of sustained revenue impacts and actionable segment-level PVs to inform investment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Primary: linked customer-level panel containing monthly transaction records, product holdings, balances, fees, and time-stamped satisfaction measures (NPS, CSAT, open-text) for 19,060 Swedish retail customers over at least 4 years. 2) Auxiliary: branch-level staffing, promotion and pricing logs, local economic indicators. 3) Synthetic-data replication set mirroring main panel statistics. Baselines: A) unit and time fixed-effects OLS; B) naive two-way fixed-effects DiD; C) IV where exogenous instruments exist (e.g., scheduled staff rotations); D) aggregate-cohort analysis. Estimators compared: Callaway &amp; Sant’Anna cohort ATT, Sun &amp; Abraham corrected event-study, local projections (LP) for horizon responses, Arellano–Bond GMM for dynamic panels, causal forests for heterogeneity. Evaluation metrics: horizon-specific ATT estimates with 95% confidence intervals, cumulative present-value (PV) revenue change per customer over 1–4 years (discount rate specified), pre-trend p-values, placebo-test p-values, first-stage F-statistics for IVs, root-mean-squared error (RMSE) for out-of-sample revenue prediction, and coverage of bootstrap CIs. Experimental setup: 1) Randomized arm analysis (if trials exist): analyze ITT and LATE with clustering at randomization unit; pre-specify primary windows (1, 3, 12, 24, 36, 48 months). 2) Staggered rollout: estimate cohort ATT using Callaway &amp; Sant’Anna with unit and time FE; report event-study plots corrected for heterogeneous timing. 3) IV analysis: report first-stage, overidentification, and sensitivity. Ablations: (i) measurement model ablation — compare raw NPS vs latent-score from CFA/IRT; (ii) estimator ablation — LP vs GMM vs corrected DiD; (iii) control set ablation — minimal vs rich time-varying controls. All analyses: cluster standard errors at customer or rollout unit as appropriate and provide pre-registered code and synthetic-data replication.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Reverse causality: revenue changes may influence reported satisfaction, producing biased causal estimates. Measurement error: sparse or noisy satisfaction surveys attenuate effect sizes. Sample size and power: detectable revenue effects may be small and require larger samples than available; clustered experiments (branch-level) amplify this issue. Attrition and missing surveys: non-random non-response can bias panel estimates. Unobserved time-varying confounding: events correlated with both satisfaction and revenue (local promotions, macro shocks) can invalidate identification. Treatment timing heterogeneity: staggered rollouts can bias naive DiD estimators if not corrected. Instrument weakness: plausible instruments (staff rotations, IT releases) may have weak first stages or violate exclusion. Generalizability: results from a Swedish retail bank may not transfer to other countries, bank types, or digital-native channels. Computational limits: high-dimensional causal-forest or synthetic-control computations may be heavy on memory and time for very large panels. Evaluation bias: PV calculations depend on chosen discount rates and margin assumptions, which affect business interpretation.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