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intergen_mobility_mothers_latam</w:t>
      </w:r>
    </w:p>
    <w:p>
      <w:r>
        <w:t xml:space="preserve"> </w:t>
      </w:r>
    </w:p>
    <w:p>
      <w:pPr>
        <w:pStyle w:val="Heading2"/>
      </w:pPr>
      <w:r>
        <w:t>Title</w:t>
      </w:r>
    </w:p>
    <w:p>
      <w:r>
        <w:t>Linked parent-child panel and quasi-experimental analysis of maternal versus paternal contributions to multidimensional intergenerational mobility in five Latin American countries</w:t>
      </w:r>
    </w:p>
    <w:p>
      <w:r>
        <w:t xml:space="preserve"> </w:t>
      </w:r>
    </w:p>
    <w:p>
      <w:pPr>
        <w:pStyle w:val="Heading2"/>
      </w:pPr>
      <w:r>
        <w:t>Short Hypothesis</w:t>
      </w:r>
    </w:p>
    <w:p>
      <w:r>
        <w:t>A one-standard-deviation increase in maternal socioeconomic status (combined education and occupation index) causes at least a 5 percentile-point increase in the child's national income rank at age 30, holding paternal socioeconomic status constant.</w:t>
      </w:r>
    </w:p>
    <w:p>
      <w:r>
        <w:t xml:space="preserve"> </w:t>
      </w:r>
    </w:p>
    <w:p>
      <w:pPr>
        <w:pStyle w:val="Heading2"/>
      </w:pPr>
      <w:r>
        <w:t>Related Work</w:t>
      </w:r>
    </w:p>
    <w:p>
      <w:r>
        <w:t>Existing empirical work measures intergenerational mobility using single outcomes (income or education) and often uses only one parental proxy (typically father's education or occupation). Common approaches include rank-rank regressions (measure how child rank relates to parent rank), log-income elasticity (percentage change in child income per percent change in parent income), and family-fixed-effect estimates using sibling comparisons. Limitations are: reliance on cross-sectional correlations that cannot separate causal parental channels; under-use of linked administrative parent-child data across countries; little systematic use of both parents' education and occupation together as family background; weak treatment of measurement and linkage error; limited spatial modeling of neighborhood effects; and sparse mediation analyses that decompose maternal time, health, and human capital pathways. Causal claims often rest on single-country natural experiments or weak instruments and do not uniformly test parallel-trends, spillovers, or sensitivity to linkage bias.</w:t>
      </w:r>
    </w:p>
    <w:p>
      <w:r>
        <w:t xml:space="preserve"> </w:t>
      </w:r>
    </w:p>
    <w:p>
      <w:pPr>
        <w:pStyle w:val="Heading2"/>
      </w:pPr>
      <w:r>
        <w:t>Abstract</w:t>
      </w:r>
    </w:p>
    <w:p>
      <w:r>
        <w:t>This study measures intergenerational mobility in education and income rank across Brazil, Chile, Ecuador, Mexico, and Panama by combining parental education and occupation as joint proxies for family background and by isolating maternal versus paternal transmission channels. We build harmonized parent-child linked panels from household surveys and administrative registers, then estimate rank-rank slopes, log-income elasticities, and family fixed-effect models. We exploit quasi-experiments (staggered program rollouts, maternity leave or childcare policy changes, eligibility cutoffs) to identify causal maternal effects. We add mediation analysis using maternal time-use and health measures and spatial models to capture neighborhood variation. The main contribution is a cross-country, multi-outcome assessment of how informative maternal and paternal proxies are for predicting child status, how maternal channels operate, and how this varies by cohort and place. Expected outcomes include precise estimates of maternal versus paternal contributions, quantified mediation shares, and policy-relevant evidence on which maternal-support policies most change mobility.</w:t>
      </w:r>
    </w:p>
    <w:p>
      <w:r>
        <w:t xml:space="preserve"> </w:t>
      </w:r>
    </w:p>
    <w:p>
      <w:pPr>
        <w:pStyle w:val="Heading2"/>
      </w:pPr>
      <w:r>
        <w:t>Experiments</w:t>
      </w:r>
    </w:p>
    <w:p>
      <w:r>
        <w:t>Datasets: harmonized parent-child linked files from SEDLAC harmonization, ENIGH (Mexico), PNAD (Brazil), CASEN (Chile), national household surveys for Ecuador and Panama, and available administrative registers (birth, education, social security, conditional cash transfer program lists) where linkable. Outcomes: child education rank, child income rank at multiple ages (e.g., 25, 30), occupation status, wealth index, subjective social status, and health. Baselines: (A) father-only background (education, occupation), (B) mother-only background, (C) combined parental education only, (D) combined parental occupation only, (E) combined parental SES index (education+occupation). Estimators and models: (1) rank-rank OLS: child_rank = alpha + beta * parent_rank + controls; report beta (slope). Rank is percentile within cohort and country. (2) Log-income intergenerational elasticity: OLS on log incomes. (3) Family fixed effects (sibling FE): within-family variation to control time-invariant family factors. 'Fixed effects' means adding family-specific intercepts that soak up shared family traits. (4) Difference-in-differences (DiD) and event-study for staggered policy rollouts; report ATT (average treatment effect on treated). 'DiD' compares pre-post changes between treated and control groups. (5) Instrumental variables (IV) where applicable using policy eligibility thresholds as instruments; report IV estimates and first-stage F-stat. 'IV' means using an external variable that shifts maternal exposure but not directly the child outcome. (6) Regression discontinuity (RD) if strict eligibility cutoffs exist; report local average treatment effects around the cutoff. (7) Mediation analysis: sequential g-estimation and inverse odds weighting to decompose direct and indirect effects through maternal time use and health; report mediated share. 'Mediation' means quantifying how much of the maternal effect goes through specific channels. (8) Spatial models: spatial lag/error models and geographically weighted regressions to allow coefficients to vary in space. Experimental setup: harmonize ISCED for education and ISCO for occupation, equivalize incomes and convert to percentile ranks by birth cohort and country. Primary sample: children observed at outcome age windows (25–35) with linked parental measures at child's early life. Cluster standard errors at municipality or primary sampling unit. Multiple-testing correction: report q-values using Benjamini-Hochberg (controls false discovery rate). Ablations and comparisons: (i) compare baselines A–E to quantify incremental informativeness of adding maternal measures; (ii) run models with and without sibling FE; (iii) include vs exclude maternal time-use mediators; (iv) include spatial controls vs no spatial controls; (v) simulate probabilistic linkage error by randomly reassigning parental links at observed match rates and recompute key estimates to assess sensitivity. Evaluation metrics: rank-rank slope, log-income elasticity, R-squared and incremental R-squared (variance explained) from parental predictors, ATT and RD local effects with 95% CI, mediated proportion, first-stage F-stat for IV (&gt;10 is rule-of-thumb), and sensitivity bounds (Oster delta, Rosenbaum bounds). Power and MDE: compute minimum detectable effects per country and subgroup using pilot sample sizes; target MDE ~5 percentile points for main effects at 80% power and alpha=0.05 and report achieved power for each subsample. Diagnostics: parallel-trends tests and placebo-event windows for DiD; falsification outcomes (e.g., adult outcomes pre-dating treatment) and spillover checks across neighboring areas.</w:t>
      </w:r>
    </w:p>
    <w:p>
      <w:r>
        <w:t xml:space="preserve"> </w:t>
      </w:r>
    </w:p>
    <w:p>
      <w:pPr>
        <w:pStyle w:val="Heading2"/>
      </w:pPr>
      <w:r>
        <w:t>Risk Factors And Limitations</w:t>
      </w:r>
    </w:p>
    <w:p>
      <w:r>
        <w:t>Data access and legal constraints to link administrative records across agencies and countries. Differential linkage error: lower match rates for Indigenous or rural populations may bias estimates; 'linkage error' means incorrect or missing parent-child matches. Measurement error in income and retrospective reports of parental occupation/education. Attrition: loss of children from panels by outcome age. Violation of identification assumptions: DiD parallel trends may fail; instruments or RD cutoffs may not be valid (weak instruments or manipulation at cutoff). Spillovers and SUTVA violations: program effects may affect nearby untreated units; 'SUTVA' means no interference between units. Limited external validity: results may not generalize beyond the five countries or cohorts studied. Computational limits for large-scale probabilistic linkage and spatial models may constrain iterations. Ethics and privacy: geocoding precision vs confidentiality trade-offs may limit spatial resolution. Mediation inference limits: unmeasured mediator-outcome confounding can bias mediated shares. Sample size constraints for subgroups (Indigenous, Afro-descendant, biomarker subsamples) may produce low power for some tests.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