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ecb_climate_bank_eventstudy</w:t>
      </w:r>
    </w:p>
    <w:p>
      <w:r>
        <w:t xml:space="preserve"> </w:t>
      </w:r>
    </w:p>
    <w:p>
      <w:pPr>
        <w:pStyle w:val="Heading2"/>
      </w:pPr>
      <w:r>
        <w:t>Title</w:t>
      </w:r>
    </w:p>
    <w:p>
      <w:r>
        <w:t>Event-study analysis of how ECB climate-related announcements affect European banks' stock returns</w:t>
      </w:r>
    </w:p>
    <w:p>
      <w:r>
        <w:t xml:space="preserve"> </w:t>
      </w:r>
    </w:p>
    <w:p>
      <w:pPr>
        <w:pStyle w:val="Heading2"/>
      </w:pPr>
      <w:r>
        <w:t>Short Hypothesis</w:t>
      </w:r>
    </w:p>
    <w:p>
      <w:r>
        <w:t>ECB climate-related announcements cause statistically different abnormal stock returns for banks with high climate-transition or fossil-fuel exposure compared to banks with low exposure within narrow event windows.</w:t>
      </w:r>
    </w:p>
    <w:p>
      <w:r>
        <w:t xml:space="preserve"> </w:t>
      </w:r>
    </w:p>
    <w:p>
      <w:pPr>
        <w:pStyle w:val="Heading2"/>
      </w:pPr>
      <w:r>
        <w:t>Related Work</w:t>
      </w:r>
    </w:p>
    <w:p>
      <w:r>
        <w:t>Prior studies use three main approaches: event studies (measure short-run stock reactions to news), panel regressions (exploit cross-sectional and time variation in bank outcomes), and asset-pricing tests (add risk factors to explain returns). Existing event-study work often uses daily windows and coarse exposure proxies, which can blur immediate market reactions and suffer from thin-trading noise. Panel approaches improve control for bank fundamentals but face endogeneity when exposure correlates with unobserved factors. Asset-pricing extensions show climate exposures can load as a priced factor, but results vary with how exposures are constructed. Common limitations are: weak or inconsistent exposure measures (measurement error), sparse or imprecise event timestamps (reducing causal clarity), and limited use of modern DiD or intraday identification strategies to handle staggered policy timing and surprise content.</w:t>
      </w:r>
    </w:p>
    <w:p>
      <w:r>
        <w:t xml:space="preserve"> </w:t>
      </w:r>
    </w:p>
    <w:p>
      <w:pPr>
        <w:pStyle w:val="Heading2"/>
      </w:pPr>
      <w:r>
        <w:t>Abstract</w:t>
      </w:r>
    </w:p>
    <w:p>
      <w:r>
        <w:t>This study tests whether ECB climate-related communications and policy signals move European bank equity prices, and whether the market reaction depends on banks' climate exposures. Using a high-frequency event-study framework (short windows around announcements) combined with panel and factor tests, we compare banks with high versus low transition exposure and with greater fossil-fuel lending. The main contribution is a unified, reproducible analysis that links precisely time-stamped ECB events to multiple, triangulated exposure measures (transition and physical risk), and that uses modern causal tools to separate surprise effects from predictable communication. Expected outcomes are: (1) evidence on the direction and size of immediate abnormal returns by exposure group, (2) estimates of how much climate risk is priced after accounting for standard factors, and (3) policy-relevant patterns showing which types of ECB messages (supervisory, collateral, or strategy) generate the strongest market responses. Results will inform supervisors and investors about market sensitivity to ECB climate integration.</w:t>
      </w:r>
    </w:p>
    <w:p>
      <w:r>
        <w:t xml:space="preserve"> </w:t>
      </w:r>
    </w:p>
    <w:p>
      <w:pPr>
        <w:pStyle w:val="Heading2"/>
      </w:pPr>
      <w:r>
        <w:t>Experiments</w:t>
      </w:r>
    </w:p>
    <w:p>
      <w:r>
        <w:t>Datasets: daily and intraday equity prices and volumes for EU banks from Refinitiv/Datastream/Bloomberg; bank fundamentals from Orbis BankFocus/Bankscope; climate exposures from MSCI/ISS/Refinitiv scores, TCFD/CDP disclosures, and Copernicus-derived geospatial physical-risk indices; ECB event archive with timestamps and classification; market controls (country GDP, rates, VIX, sector indices). Baselines: (A) market-model event study using only market index returns, (B) panel regression with bank and time fixed effects without climate exposure, (C) Fama–French five-factor regressions without climate factor. Primary tests: 1) High-frequency event-study estimating abnormal return AR_{i,t} = r_{i,t} - (alpha_i + beta_i r_{m,t}) over windows day0, ±1, ±2, ±5; compute average abnormal return (AAR) and cumulative abnormal return (CAR) by exposure terciles; cluster SEs by bank and country. Estimation window: 120 trading days before event for alpha/beta. 2) Cross-sectional regression AR_{i,event} = gamma0 + gamma1 Exposure_i + X_i'gamma + e_i to test exposure effect. 3) Panel DiD: bank daily returns regressed on Post_event*Treated (Callaway–Sant’Anna and Sun–Abraham estimators) with bank and date FE to estimate ATT. 4) Asset-pricing: construct climate factor by long-short portfolios sorted on exposure, add to FF5 regressions and test factor alpha significance. 5) Volatility tests: GARCH(1,1) on returns around events to measure volatility changes by exposure. Intraday setup: 1- or 5-minute returns for events with precise timestamps; use short pre-event estimation windows and noise-robust aggregators (e.g., median returns) to handle microstructure noise. Ablations/comparisons: (i) replace exposure with alternative proxies (MSCI vs CDP vs loan-level) to test sensitivity; (ii) exclude physical-risk measures to isolate transition effects; (iii) run placebo events (random dates) and non-climate ECB announcements as falsification. Evaluation metrics: AAR, CAR, ATT (DiD), change in volatility, climate-factor t-statistics and incremental R-squared. Reporting: effect sizes in basis points, p-values, clustered SEs, and minimum detectable effect calculations for primary windows.</w:t>
      </w:r>
    </w:p>
    <w:p>
      <w:r>
        <w:t xml:space="preserve"> </w:t>
      </w:r>
    </w:p>
    <w:p>
      <w:pPr>
        <w:pStyle w:val="Heading2"/>
      </w:pPr>
      <w:r>
        <w:t>Risk Factors And Limitations</w:t>
      </w:r>
    </w:p>
    <w:p>
      <w:r>
        <w:t>Data quality and coverage: proprietary loan-level and intraday data may be limited or delayed, producing selection bias. Measurement error: climate exposure proxies differ across vendors and may misclassify banks. Event coding: assigning timestamps, salience, and surprise to ECB messages is partly subjective and may introduce mis-timing. Endogeneity: bank exposure may correlate with unobserved traits (management, portfolio choices), limiting causal claims beyond surprise-driven windows. IV validity: instruments based on regional shocks may violate exclusion if shocks affect local economies and bank fundamentals. Thin trading and microstructure noise: small or illiquid bank stocks can distort intraday abnormal returns. Multiple testing: many events and exposures raise false-positive risk. Computation and reproducibility: intraday and GARCH estimation across many banks is compute-intensive and requires careful versioning. External validity: conclusions apply to European banks and ECB events and may not generalize to other regions or central banks.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