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eu_funds_tfp_spatial_temporal</w:t>
      </w:r>
    </w:p>
    <w:p>
      <w:r>
        <w:t xml:space="preserve"> </w:t>
      </w:r>
    </w:p>
    <w:p>
      <w:pPr>
        <w:pStyle w:val="Heading2"/>
      </w:pPr>
      <w:r>
        <w:t>Title</w:t>
      </w:r>
    </w:p>
    <w:p>
      <w:r>
        <w:t>Quasi-experimental evaluation of how EU cohesion funds affect regional total factor productivity across time and space</w:t>
      </w:r>
    </w:p>
    <w:p>
      <w:r>
        <w:t xml:space="preserve"> </w:t>
      </w:r>
    </w:p>
    <w:p>
      <w:pPr>
        <w:pStyle w:val="Heading2"/>
      </w:pPr>
      <w:r>
        <w:t>Short Hypothesis</w:t>
      </w:r>
    </w:p>
    <w:p>
      <w:r>
        <w:t>Higher per-capita EU cohesion fund payments cause increases in regional total factor productivity (TFP) growth within five years, with effect sizes that vary by programming period and induce measurable spillovers in neighboring regions.</w:t>
      </w:r>
    </w:p>
    <w:p>
      <w:r>
        <w:t xml:space="preserve"> </w:t>
      </w:r>
    </w:p>
    <w:p>
      <w:pPr>
        <w:pStyle w:val="Heading2"/>
      </w:pPr>
      <w:r>
        <w:t>Related Work</w:t>
      </w:r>
    </w:p>
    <w:p>
      <w:r>
        <w:t>Existing studies estimate links between EU cohesion funds and regional economic outcomes using panel regressions, difference-in-differences (DiD), regression discontinuity (RD) at eligibility cutoffs, synthetic control for case studies, and spatial econometrics to document spillovers. Limitations include: (1) many papers use coarse regional TFP proxies or aggregate outputs without micro-level TFP estimation, which can mix reallocation and within-firm productivity; (2) staggered adoption and heterogeneous timing create biased DiD estimates when not corrected for treatment-timing heterogeneity; (3) spatial spillovers are often measured with a single spatial weight matrix, risking Modifiable Areal Unit Problem (MAUP) sensitivity; (4) endogeneity of fund allocation is not always addressed with valid instruments or local RD; and (5) limited formal power analyses and pre-registration reduce clarity about detectable effect sizes and multiple-testing control. These gaps motivate combining micro TFP methods, modern DiD/RD/IV tools, and robust spatial procedures.</w:t>
      </w:r>
    </w:p>
    <w:p>
      <w:r>
        <w:t xml:space="preserve"> </w:t>
      </w:r>
    </w:p>
    <w:p>
      <w:pPr>
        <w:pStyle w:val="Heading2"/>
      </w:pPr>
      <w:r>
        <w:t>Abstract</w:t>
      </w:r>
    </w:p>
    <w:p>
      <w:r>
        <w:t>We examine whether and how EU cohesion funds (ERDF, ESF, Cohesion Fund, EAFRD) influenced regional total factor productivity (TFP) growth in 262 NUTS2 regions from 2000–2019, accounting for temporal phases (pre-crisis, crisis, recovery), spatial spillovers, and heterogeneous capital accumulation. At the micro level we compute firm TFP using Levinsohn-Petrin and Ackerberg-Çaves-Frazer estimators (methods that correct for input choice bias) and aggregate to region-level indices. For causal inference we combine local RD at eligibility thresholds, staggered DiD with recent bias-corrections (Sun–Abraham and Callaway–Sant’Anna), IVs based on predetermined allocation rules, and synthetic controls for landmark regions. Spatial Durbin Models capture direct and indirect (spillover) effects using multiple pre-registered spatial weight matrices. Main contributions are (1) triangulated causal estimates of fund effects on micro and regional TFP, (2) documented evolution of effects over programming periods, and (3) quantified channels such as capital deepening and firm entry/exit. Expected outcomes include policy-relevant elasticities (TFP change per euro invested) and mapped heterogeneity for regional policy design.</w:t>
      </w:r>
    </w:p>
    <w:p>
      <w:r>
        <w:t xml:space="preserve"> </w:t>
      </w:r>
    </w:p>
    <w:p>
      <w:pPr>
        <w:pStyle w:val="Heading2"/>
      </w:pPr>
      <w:r>
        <w:t>Experiments</w:t>
      </w:r>
    </w:p>
    <w:p>
      <w:r>
        <w:t>Datasets: DG REGIO/ESIF project-level commitments and payments (2000–2019), Eurostat regional accounts (NUTS2 and NUTS3 vintages), ORBIS/Amadeus firm-level balance sheets and employment, national procurement portals (where available), GISCO boundary files, and constructed commuting zones from inter-municipal flow data. Sample: 262 NUTS2 regions, panel 2000–2019; firm panel for countries with ORBIS coverage, 2004–2019. Baselines: (A) pooled OLS with region and year FE (fixed effects), (B) standard two-way DiD, (C) spatial panel without quasi-experimental design, (D) synthetic control for selected treated regions. Causal estimators: local RD at eligibility cutoffs (geographic border RD), staggered DiD using Sun–Abraham and Callaway–Sant’Anna estimators, IV panel using predetermined allocation formula instruments, and Spatial Durbin Model (SDM) for spillovers. TFP estimation ablations: Levinsohn-Petrin (LP), Ackerberg-Çaves-Frazer (ACF), and Olley-Pakes (OP) variants (compare results). Exposure measures ablations: cumulative payments per capita, per employee, per firm, distance-weighted payments, binary eligibility. Dynamic windows: 0–1, 2–3, 4–5 year lags. Evaluation metrics: average treatment effect on treated (ATT) with 90/95% confidence intervals, spillover coefficients (direct/indirect effects) with bootstrap CIs, placebo p-values from pre-treatment falsification, root mean squared error (RMSE) for synthetic control fits, and minimum detectable effect (MDE) tables from simulation calibrated to pilot 2007–13 variance components. Inference details: cluster standard errors by region, apply Conley spatial HAC corrections for spatial correlation, and use Romano–Wolf or FDR for multiple-testing correction. Pre-registered robustness checks: alternative spatial weight matrices (kNN, inverse-distance, commuting flows), alternative capital-stock depreciation rates, alternative aggregation weights (employment vs value-added), and exclusion of large capital projects in sensitivity runs.</w:t>
      </w:r>
    </w:p>
    <w:p>
      <w:r>
        <w:t xml:space="preserve"> </w:t>
      </w:r>
    </w:p>
    <w:p>
      <w:pPr>
        <w:pStyle w:val="Heading2"/>
      </w:pPr>
      <w:r>
        <w:t>Risk Factors And Limitations</w:t>
      </w:r>
    </w:p>
    <w:p>
      <w:r>
        <w:t>Data coverage and measurement: ORBIS/Amadeus have uneven country coverage and may miss small firms, causing selection bias; project geocoding is incomplete for some years. Measurement error: capital stock (perpetual inventory) and input deflators are uncertain and can bias TFP estimates. Identification limits: allocation endogeneity may violate IV exclusion or local RD local-randomness assumptions; weak instruments are possible. Statistical power: small numbers of eligible border pairs or treated regions in some periods can yield large MDEs (low power) for modest TFP elasticities (0.5–2%). Spatial model limits: choice of spatial weight matrix (MAUP) can change spillover estimates and spatial lags may be endogenous. Computational and legal constraints: firm-level spatial panels and synthetic controls are computationally heavy and GDPR or data licensing may restrict microdata sharing. External validity: results apply to EU regions and 2000–2019 programming contexts and may not generalize to different policy rules or later instruments (e.g., NextGenerationEU). Behavioral dynamics: anticipation, migration, and general equilibrium effects (price or national reallocation) may violate stable-unit-treatment assumptions and limit causal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