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true_pricing_presentation_experiment</w:t>
      </w:r>
    </w:p>
    <w:p>
      <w:r>
        <w:t xml:space="preserve"> </w:t>
      </w:r>
    </w:p>
    <w:p>
      <w:pPr>
        <w:pStyle w:val="Heading2"/>
      </w:pPr>
      <w:r>
        <w:t>Title</w:t>
      </w:r>
    </w:p>
    <w:p>
      <w:r>
        <w:t>Comparing presentation formats of true prices at point-of-sale using a randomized survey experiment to measure consumer choice and welfare effects</w:t>
      </w:r>
    </w:p>
    <w:p>
      <w:r>
        <w:t xml:space="preserve"> </w:t>
      </w:r>
    </w:p>
    <w:p>
      <w:pPr>
        <w:pStyle w:val="Heading2"/>
      </w:pPr>
      <w:r>
        <w:t>Short Hypothesis</w:t>
      </w:r>
    </w:p>
    <w:p>
      <w:r>
        <w:t>Displaying an absolute monetary true-price adjustment at the point of sale reduces the probability of purchasing high-externality food products compared to showing no true-price information.</w:t>
      </w:r>
    </w:p>
    <w:p>
      <w:r>
        <w:t xml:space="preserve"> </w:t>
      </w:r>
    </w:p>
    <w:p>
      <w:pPr>
        <w:pStyle w:val="Heading2"/>
      </w:pPr>
      <w:r>
        <w:t>Related Work</w:t>
      </w:r>
    </w:p>
    <w:p>
      <w:r>
        <w:t>Prior work has studied price labels, eco-labels, and disclosure formats using lab and field A/B tests and survey experiments, and separate literature estimates product life-cycle impacts using LCA (life-cycle assessment). Existing approaches either (a) report single-dimension labels (e.g., carbon-only), (b) show relative signals (percent change) or (c) show monetary surcharges in small samples or artificial settings. Limitations in current methods: many studies use small or non-representative samples, do not tie labels to harmonized marginal external-cost estimates from LCA, ignore uncertainty in externality estimates, lack comparisons across absolute versus relative formats, and rarely compute welfare measures (CV/EV) or distributional impacts. Work on dynamic or AI-driven pricing focuses on supply responses but rarely links presentation-format effects on consumers. UI design and equity effects are underexplored jointly with validated LCA-based pricing.</w:t>
      </w:r>
    </w:p>
    <w:p>
      <w:r>
        <w:t xml:space="preserve"> </w:t>
      </w:r>
    </w:p>
    <w:p>
      <w:pPr>
        <w:pStyle w:val="Heading2"/>
      </w:pPr>
      <w:r>
        <w:t>Abstract</w:t>
      </w:r>
    </w:p>
    <w:p>
      <w:r>
        <w:t>This study evaluates how different point-of-sale presentations of "true prices"—prices adjusted to include marginal external costs—affect consumer choices and social welfare. We conduct a large randomized survey experiment with 1,400 Dutch and Danish consumers who choose among realistic food products whose marginal external costs are derived from harmonized life-cycle assessment (LCA). Treatments vary presentation format: no disclosure, absolute monetary surcharge, relative percentage, combined absolute+relative, and a multi-dimensional breakdown. Primary outcomes are purchase probability, market share shifts, and household-level compensating variation (CV) and equivalent variation (EV), which are standard money measures of welfare change. We also record comprehension, decision time, and trust. The main contribution is a direct, comparative test of presentation formats using reproducible LCA inputs and pre-registered analysis, producing quantified welfare and distributional effects across income and numeracy groups. Expected outcomes are clear evidence on which formats change behavior and welfare and practical guidance for labeling and revenue-recycling choices.</w:t>
      </w:r>
    </w:p>
    <w:p>
      <w:r>
        <w:t xml:space="preserve"> </w:t>
      </w:r>
    </w:p>
    <w:p>
      <w:pPr>
        <w:pStyle w:val="Heading2"/>
      </w:pPr>
      <w:r>
        <w:t>Experiments</w:t>
      </w:r>
    </w:p>
    <w:p>
      <w:r>
        <w:t>Datasets: (1) Primary survey panel of 1,400 participants (700 Dutch, 700 Danish) recruited to match population age and income distributions. (2) Product catalog with GTIN/UPC-linked items and LCA-derived marginal external costs per unit (Monte Carlo uncertainty draws stored). (3) Household income and basic demographics from survey. Baselines: (A) no true-price information (control), (B) relative percentage label only, (C) absolute monetary surcharge only, (D) combined absolute+relative, (E) multi-dimensional breakdown (climate, health, social). Experimental design: individual-level randomization into five arms, fixed sample, no interim peeking. Sample allocation: 1,400 total → 280 per arm. Power calculation: for a binary purchase outcome with baseline 30% purchase rate, N=280 per arm yields ~80% power to detect an absolute difference of ~8 percentage points (two-sided α=0.05). Primary outcomes: purchase probability of high-externality products, market share by product category, compensating variation (CV) and equivalent variation (EV) per household (CV/EV: money measures meaning how much money would compensate for utility change), comprehension accuracy (binary), decision time (seconds), trust rating (Likert). Secondary outcomes: heterogeneity by income decile, numeracy (simple score), and environmental concern. Estimation and metrics: difference-in-means with robust SEs, logistic regressions for binary choice, linear regressions for share and CV/EV, and random-coefficients discrete choice model (nested logit or mixed logit) to recover willingness-to-pay and substitution patterns. Ablation studies: (1) compare combined absolute+relative versus each alone to measure interaction; (2) remove uncertainty (use point LCA estimate) versus include Monte Carlo uncertainty propagation to test effect of uncertainty communication; (3) run revenue-recycling message sub-arms (neutral vs rebate-to-low-income) to test framing. Supply-side sensitivity: simulate pass-through scenarios (0%, 50%, 100%) using estimated demand elasticities in a partial-equilibrium module to compute counterfactual market shares and aggregate welfare. Pre-analysis plan: pre-register primary/secondary outcomes, analysis scripts, covariates, exclusions, and exact estimators before data lock. Attention and comprehension checks included; exclude participants failing checks per pre-registered rules.</w:t>
      </w:r>
    </w:p>
    <w:p>
      <w:r>
        <w:t xml:space="preserve"> </w:t>
      </w:r>
    </w:p>
    <w:p>
      <w:pPr>
        <w:pStyle w:val="Heading2"/>
      </w:pPr>
      <w:r>
        <w:t>Risk Factors And Limitations</w:t>
      </w:r>
    </w:p>
    <w:p>
      <w:r>
        <w:t>Technical failure modes: LCA-derived marginal external costs may be misestimated or inconsistent across products, leading to incorrect true prices. Data biases: online panel selection may not represent in-store shoppers and may bias estimated effects. Mapping failures: GTIN/UPC to ingredient-level LCA mapping may be incomplete for multi-ingredient processed foods. Uncertainty and communication: consumers may ignore or misinterpret uncertainty bands, producing null effects or backlash. Scalability and compute: Monte Carlo propagation across many products is compute-intensive and may limit real-time updates. Generalization limits: results from Dutch and Danish samples may not hold in other cultures, retail channels, or informal markets. Supply-side limits: experiment measures consumer response but cannot fully capture firm reformulation, entry/exit, or strategic pricing in equilibrium. Legal and political constraints: real-world deployment may face regulatory limits not tested here. Ethical constraints: vulnerable groups may respond differently and require protections not resolved in this protocol.</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