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markup_product_diff_airlines</w:t>
      </w:r>
    </w:p>
    <w:p>
      <w:r>
        <w:t xml:space="preserve"> </w:t>
      </w:r>
    </w:p>
    <w:p>
      <w:pPr>
        <w:pStyle w:val="Heading2"/>
      </w:pPr>
      <w:r>
        <w:t>Title</w:t>
      </w:r>
    </w:p>
    <w:p>
      <w:r>
        <w:t>A BLP-based markup decomposition of U.S. airline markups that integrates multi-dimensional product differentiation</w:t>
      </w:r>
    </w:p>
    <w:p>
      <w:r>
        <w:t xml:space="preserve"> </w:t>
      </w:r>
    </w:p>
    <w:p>
      <w:pPr>
        <w:pStyle w:val="Heading2"/>
      </w:pPr>
      <w:r>
        <w:t>Short Hypothesis</w:t>
      </w:r>
    </w:p>
    <w:p>
      <w:r>
        <w:t>An increase in multi-dimensional product similarity between carriers on the same route causes average firm markups on that route to decline.</w:t>
      </w:r>
    </w:p>
    <w:p>
      <w:r>
        <w:t xml:space="preserve"> </w:t>
      </w:r>
    </w:p>
    <w:p>
      <w:pPr>
        <w:pStyle w:val="Heading2"/>
      </w:pPr>
      <w:r>
        <w:t>Related Work</w:t>
      </w:r>
    </w:p>
    <w:p>
      <w:r>
        <w:t>Existing work estimates demand with discrete-choice models (logit, nested logit, and random-coefficients/mixed logit such as BLP) and recovers markups by combining demand elasticities with supply first-order conditions. Other studies perform markup or profitability decompositions using output and price frontier methods (building on Lovell-style decompositions). Empirical airline literature documents many product dimensions (schedule, cabin quality, ancillaries, network effects) and uses reduced-form event studies for mergers and entry. Key limitations: many demand estimates treat differentiation in one or few dimensions or use simple nested structures that misstate substitution patterns; supply-side work often assumes single-product Bertrand pricing and ignores alliances or joint-profit pricing; identification relies on limited instruments and often lacks pre-specified weak-IV diagnostics; dynamic capacity adjustments and network externalities are rarely integrated into structural counterfactuals; measurement issues (DB1B sampling, codeshare attribution, missing seatmap/ancillary data) are under-documented. These gaps limit precise causal attribution of differentiation effects on markups.</w:t>
      </w:r>
    </w:p>
    <w:p>
      <w:r>
        <w:t xml:space="preserve"> </w:t>
      </w:r>
    </w:p>
    <w:p>
      <w:pPr>
        <w:pStyle w:val="Heading2"/>
      </w:pPr>
      <w:r>
        <w:t>Abstract</w:t>
      </w:r>
    </w:p>
    <w:p>
      <w:r>
        <w:t>We address how multi-dimensional product differentiation affects markups and welfare in the U.S. airline industry. We propose a framework that combines mixed-logit demand estimation (BLP-style, where consumers have random tastes over product attributes) with supply-side markup recovery and a Lovell-style decomposition of annual markup changes that explicitly accounts for product differentiation. Product attributes include schedule/timing (horizontal), cabin and amenity quality (vertical), ancillaries, and network overlap. The main contribution is a decomposition that quantifies how much markup variation is driven by price-cost margins, changes in product quality, changes in product similarity, and network portfolio effects. We apply the method to a panel of 20 U.S. carriers over two decades at the route–carrier–product–month level to: (1) estimate how specific differentiation dimensions shift substitution and elasticities, (2) recover product-level markups under alternative supply assumptions (single-firm Bertrand vs. alliance joint pricing), and (3) simulate counterfactuals for mergers and slot reallocation to compute consumer and producer surplus changes. Expected outcomes include testable evidence on which differentiation dimensions raise or reduce markups and policy-relevant welfare estimates.</w:t>
      </w:r>
    </w:p>
    <w:p>
      <w:r>
        <w:t xml:space="preserve"> </w:t>
      </w:r>
    </w:p>
    <w:p>
      <w:pPr>
        <w:pStyle w:val="Heading2"/>
      </w:pPr>
      <w:r>
        <w:t>Experiments</w:t>
      </w:r>
    </w:p>
    <w:p>
      <w:r>
        <w:t>Datasets: T-100 and DB1B (U.S. route-level traffic and sampled ticket microdata), Cirium/OAG/Innovata schedules (departure times, frequencies), carrier seatmap feeds and FAA filings (seat pitch, cabin mix), ancillary reports or imputed ancillary prices, airport slot and fee records, carrier network portfolios and alliance/JV membership. Sample: route–carrier–product–month panel for 20 major U.S. carriers over ~2000–2020 (two decades). Unit of observation: carrier × origin–destination × departure-time-window × fare-family × month. Baselines: (A) nested logit demand with standard supply FOC (Bertrand, single-product); (B) BLP mixed logit demand without explicit differentiation decomposition; (C) reduced-form price regressions with IVs. Core model: mixed logit (random coefficients) demand estimated by simulated maximum likelihood or GMM using contraction mapping (BLP). Supply variants: Bertrand single-product, joint-profit for alliances, and simple price-matching rule. Instruments: rival product characteristics, fuel×distance cost shifters, cross-market/hours-of-day price instruments, and lagged prices. Evaluation metrics: average and distribution of recovered markups (p - mc), fraction of annual markup change attributed to differentiation vs. cost vs. price factors (decomposition shares), RMSE of predicted market shares, first-stage F-statistics for instruments, Hansen J overidentification p-values, weak-IV-robust confidence intervals, bootstrap standard errors clustered at route level, change in consumer surplus (log-sum) and producer surplus under counterfactuals. Estimation details: mixed logit with 1,000 quasi-Monte Carlo draws (Sobol/Halton), contraction tolerance 1e-12, cluster SEs at route-month, first-stage diagnostics reported. Experiments and tests: (1) Main estimation with full differentiation vector. (2) Ablation A: drop vertical attributes (cabin quality and ancillaries) and re-estimate to measure loss in explanatory power and change in recovered markups. (3) Ablation B: drop network overlap measures. (4) Supply-test ablation: estimate markups under Bertrand vs. joint-profit and run overidentification/fit tests to choose supply model. (5) Natural experiment analysis: event studies around slot reallocations, fleet swaps that change cabin layout, and discrete entry/exit on selected routes; placebo tests on unaffected routes. Counterfactuals: simulate merger and slot-redistribution scenarios under selected supply models and report welfare with bootstrap uncertainty. Report all diagnostics: first-stage F&gt;10, weak-IV robust CIs, Hansen J, and placebo lead regressions.</w:t>
      </w:r>
    </w:p>
    <w:p>
      <w:r>
        <w:t xml:space="preserve"> </w:t>
      </w:r>
    </w:p>
    <w:p>
      <w:pPr>
        <w:pStyle w:val="Heading2"/>
      </w:pPr>
      <w:r>
        <w:t>Risk Factors And Limitations</w:t>
      </w:r>
    </w:p>
    <w:p>
      <w:r>
        <w:t>Data and measurement: DB1B is a sample survey (sampling noise) and requires correct weighting; codeshare marketing vs. operating carrier misattribution can bias product attributes; seatmap and ancillary price coverage may be incomplete, creating measurement error. Identification: proposed instruments (rival characteristics, cross-market prices) may correlate with unobserved demand shocks, invalidating exclusion; instruments may be weak, requiring robust inference. Supply-side model risk: real pricing may follow joint-profit, bargaining, or dynamic price-matching rules that differ from assumed FOCs, causing biased marginal cost recovery. Dynamics and capacity: static BLP may omit inventory and dynamic capacity responses when fare volatility or utilization is high, limiting causal claims for long-run effects. Computational scalability: full-sample BLP with large product space and many attributes is computationally intensive and may face convergence or runtime limits. External validity: results are for U.S. carriers and selected years; findings may not generalize to low-cost carriers in other countries or different regulatory regimes. Welfare limits: log-sum consumer surplus ignores some network externalities and dynamic loyalty effects, so welfare estimates may under- or over-state true consumer/producer gains or losses.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