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epistemic_virtue_multilevel_intervention</w:t>
      </w:r>
    </w:p>
    <w:p>
      <w:r>
        <w:t xml:space="preserve"> </w:t>
      </w:r>
    </w:p>
    <w:p>
      <w:pPr>
        <w:pStyle w:val="Heading2"/>
      </w:pPr>
      <w:r>
        <w:t>Title</w:t>
      </w:r>
    </w:p>
    <w:p>
      <w:r>
        <w:t>Multilevel randomized and agent-based evaluation of individual epistemic virtue training to improve reproducibility in scientific laboratories</w:t>
      </w:r>
    </w:p>
    <w:p>
      <w:r>
        <w:t xml:space="preserve"> </w:t>
      </w:r>
    </w:p>
    <w:p>
      <w:pPr>
        <w:pStyle w:val="Heading2"/>
      </w:pPr>
      <w:r>
        <w:t>Short Hypothesis</w:t>
      </w:r>
    </w:p>
    <w:p>
      <w:r>
        <w:t>Providing individual-level epistemic virtue training (intellectual humility and methodological rigor) causes an increase in laboratory-level reproducibility rates, mediated by higher error-reporting and data-sharing rates.</w:t>
      </w:r>
    </w:p>
    <w:p>
      <w:r>
        <w:t xml:space="preserve"> </w:t>
      </w:r>
    </w:p>
    <w:p>
      <w:pPr>
        <w:pStyle w:val="Heading2"/>
      </w:pPr>
      <w:r>
        <w:t>Related Work</w:t>
      </w:r>
    </w:p>
    <w:p>
      <w:r>
        <w:t>Prior work splits into two main approaches. Structural accounts explain scientific success using economic and incentive systems (for example, reward structures, division of labor, and market-like dynamics), while virtue-centered accounts emphasize individual dispositions (intellectual humility, curiosity, methodological conscientiousness). Empirical strands include open-science interventions (preregistration, registered reports), experimental studies on cognitive biases and metacognitive training, multilevel statistical methods to separate individual and group effects, and agent-based models of scientific communication. Limitations in existing approaches are: weak causal identification when interventions are nonrandomized; limited measurement validity for virtue constructs (relying on self-report without behavioral validation); sparse cross-disciplinary sampling and low statistical power for lab-level outcomes; insufficient integration between empirical trials and computational models (calibration and identifiability gaps); and few studies that jointly test individual training and institutional incentives or that assess gaming risks of new metrics.</w:t>
      </w:r>
    </w:p>
    <w:p>
      <w:r>
        <w:t xml:space="preserve"> </w:t>
      </w:r>
    </w:p>
    <w:p>
      <w:pPr>
        <w:pStyle w:val="Heading2"/>
      </w:pPr>
      <w:r>
        <w:t>Abstract</w:t>
      </w:r>
    </w:p>
    <w:p>
      <w:r>
        <w:t>Science faces puzzles about whether individual epistemic virtues (stable habits like intellectual humility and methodological rigor) are needed for collective success, beyond structural incentives. We propose a multilevel empirical program combining randomized controlled trials (RCTs) of individual virtue training, stepped-wedge rollouts of institutional affordances, and agent-based modeling (ABM) calibrated to observed lab data. The program tests whether training individuals increases lab reproducibility via measurable behaviors: error-reporting, preregistration, and data sharing. Main contributions are (1) validated, multi-method measures for individual virtues (self-report, situational judgment tests, and behavioral records), (2) causal estimates from clustered RCTs and stepped-wedge designs with clear primary outcomes, and (3) open ABMs that link microbehaviors to emergent lab-level reproducibility. Expected outcomes are quantifiable effect sizes for virtue training, interaction estimates with incentive strength, and calibrated simulation scenarios to predict scaling. Results will inform whether reforms should focus on individual training, institutional redesign, or combined approaches.</w:t>
      </w:r>
    </w:p>
    <w:p>
      <w:r>
        <w:t xml:space="preserve"> </w:t>
      </w:r>
    </w:p>
    <w:p>
      <w:pPr>
        <w:pStyle w:val="Heading2"/>
      </w:pPr>
      <w:r>
        <w:t>Experiments</w:t>
      </w:r>
    </w:p>
    <w:p>
      <w:r>
        <w:t>Primary outcome: laboratory reproducibility rate (fraction of pre-specified within-lab experiments that replicate under a standard protocol). Secondary outcomes: error-detection rate (number of detected and corrected errors per quarter), preregistration uptake (% of studies preregistered), data/code sharing rate, and calibration (correlation between confidence and accuracy). Datasets: bibliometric metadata (OpenAlex or Crossref) for publication histories; preregistration records (OSF, ClinicalTrials.gov); data/code availability logs (OSF, GitHub); correction/retraction records (Retraction Watch); situational judgment test (SJT) results and validated Likert scales collected from participants; lab communication logs (time-stamped, de-identified) where consented; and replication attempts recorded by the study team. Experimental arms: (A) control (status quo), (B) individual training only (8-week curriculum: intellectual humility modules, methodological rigor workshops, red-teaming practice), (C) institutional affordances only (transparency dashboard + small tenure/promotion signal), (D) combined (B+C). Sample and randomization: cluster RCT with 40 laboratories randomized equally to A–D (10 labs per arm); target average 8 consenting researchers per lab (total ~320 individuals). Power assumptions: detect standardized lab-level effect size d=0.5 between arms with 80% power, intraclass correlation ICC=0.10, two-sided alpha=0.05. Stepped-wedge: additional 30 labs receive staggered rollout of dashboards over 6 time windows for policy evaluation. Agent-based model (ABM) experiments: simulate 1,000 runs per parameter set; parameters swept: mean intellectual humility (0–1), fraction using rigorous methods (0–1), network centralization (low/medium/high), and incentive strength (low/medium/high). Baselines: structural-only policy change baseline (incentives adjusted without training); measurement-only baseline (observational prediction using pre-intervention data). Ablation studies: remove intellectual humility module from training; remove dashboard transparency metrics; compare combined vs single interventions. Analysis: multilevel mixed-effects regression for primary outcome (lab-level random intercepts), multilevel structural equation modeling (SEM) for mediation (error-reporting, data sharing), difference-in-differences for stepped-wedge, and ABM summary statistics with global sensitivity analysis (Sobol indices). Pre-registration: all analysis plans, primary estimands, and code repositories pre-registered before data collection. Evaluation metrics and thresholds: primary contrast significance (p&lt;0.05) and absolute reproducibility increase &gt;=5 percentage points considered meaningful; report confidence intervals and standardized effect sizes.</w:t>
      </w:r>
    </w:p>
    <w:p>
      <w:r>
        <w:t xml:space="preserve"> </w:t>
      </w:r>
    </w:p>
    <w:p>
      <w:pPr>
        <w:pStyle w:val="Heading2"/>
      </w:pPr>
      <w:r>
        <w:t>Risk Factors And Limitations</w:t>
      </w:r>
    </w:p>
    <w:p>
      <w:r>
        <w:t>Recruitment and consent: labs may decline or self-select, biasing generalizability. Measurement bias: self-report scales are vulnerable to social-desirability bias; SJTs reduce but do not eliminate this. Attrition: staff turnover and incomplete follow-up can reduce effective sample size and bias estimates. Power and variability: between-lab variability (ICC) may be larger than assumed, reducing power; some effects may be smaller than detectable with proposed sample. Cross-discipline generalization: results from sampled fields (e.g., biomedicine, psychology) may not transfer to others (e.g., high-energy physics). ABM identifiability: multiple parameter combinations may reproduce similar macro patterns (non-identifiability). Data access and ethics: obtaining time-stamped communication logs and sensitive decision records may be legally or ethically constrained. Metric gaming: dashboards and incentives risk perverse responses (e.g., selective preregistration, superficial data sharing). Scalability and cost: training and fidelity monitoring require sustained resources; small labs may lack capacity. Computational limits: large ABM sweeps and global sensitivity analyses require substantial compute. Causal inference limits: nonrandomized comparisons and observational calibration steps may retain confounding despite adjustments.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