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women_founders_visibility_germany</w:t>
      </w:r>
    </w:p>
    <w:p>
      <w:r>
        <w:t xml:space="preserve"> </w:t>
      </w:r>
    </w:p>
    <w:p>
      <w:pPr>
        <w:pStyle w:val="Heading2"/>
      </w:pPr>
      <w:r>
        <w:t>Title</w:t>
      </w:r>
    </w:p>
    <w:p>
      <w:r>
        <w:t>Mixed-methods investigation of how visibility practices shape funding and network outcomes for women tech founders in Germany</w:t>
      </w:r>
    </w:p>
    <w:p>
      <w:r>
        <w:t xml:space="preserve"> </w:t>
      </w:r>
    </w:p>
    <w:p>
      <w:pPr>
        <w:pStyle w:val="Heading2"/>
      </w:pPr>
      <w:r>
        <w:t>Short Hypothesis</w:t>
      </w:r>
    </w:p>
    <w:p>
      <w:r>
        <w:t>When women tech founders adopt 'undoing-gender' visibility practices in pitches and public profiles, they receive higher investor evaluation scores and larger funding offers than when they adopt 'doing-gender' (traditional masculine) visibility practices.</w:t>
      </w:r>
    </w:p>
    <w:p>
      <w:r>
        <w:t xml:space="preserve"> </w:t>
      </w:r>
    </w:p>
    <w:p>
      <w:pPr>
        <w:pStyle w:val="Heading2"/>
      </w:pPr>
      <w:r>
        <w:t>Related Work</w:t>
      </w:r>
    </w:p>
    <w:p>
      <w:r>
        <w:t>Previous work combines 'doing gender' theory, feminist political economy, network analysis, and entrepreneurship studies to show that gendered performances affect access to capital and reputation. Computational studies have measured gendered language in job ads and biographies, while experimental work has demonstrated investor bias from gender cues in controlled vignettes. Network research links brokerage and homophily to funding access. Limitations: existing approaches rarely integrate qualitative accounts of everyday gender performance with computational measures and causal tests; studies often lack longitudinal data to observe change over time; there is limited focus on German institutional specifics (e.g., regional funding cultures, migrant founder groups); computational gender inference can be biased and under-validates non-binary or migrant identities; and causal evidence connecting visibility practices to funding outcomes is thin.</w:t>
      </w:r>
    </w:p>
    <w:p>
      <w:r>
        <w:t xml:space="preserve"> </w:t>
      </w:r>
    </w:p>
    <w:p>
      <w:pPr>
        <w:pStyle w:val="Heading2"/>
      </w:pPr>
      <w:r>
        <w:t>Abstract</w:t>
      </w:r>
    </w:p>
    <w:p>
      <w:r>
        <w:t>This study examines whether and how visibility practices by women tech founders in Germany shape investor evaluations, funding outcomes, and network positions. We use a mixed-methods design combining a national survey (600–1,000 respondents), 45–60 semi-structured interviews, 3–5 embedded ethnographies, NLP analysis of pitch decks and public profiles, network analysis of investor ties, and randomized vignette/conjoint experiments with investors. The main contribution is an integrated operationalization of 'doing', 'redoing', and 'undoing' gender across survey items, textual features, and network indicators, enabling direct cross-method validation (linking what founders say and do to measurable outcomes). Expected outcomes are causal estimates of how visibility framing affects investor behavior, descriptive typologies of gender practices across sectors and migration backgrounds, and reproducible indicator sets (survey items, NLP features, network measures) for future research and policy. Results will inform accelerator practices and investor training to reduce gendered funding gaps.</w:t>
      </w:r>
    </w:p>
    <w:p>
      <w:r>
        <w:t xml:space="preserve"> </w:t>
      </w:r>
    </w:p>
    <w:p>
      <w:pPr>
        <w:pStyle w:val="Heading2"/>
      </w:pPr>
      <w:r>
        <w:t>Experiments</w:t>
      </w:r>
    </w:p>
    <w:p>
      <w:r>
        <w:t>Datasets: (1) National survey of 600–1,000 self-identified women tech founders stratified by region, sector, stage, and migration status; (2) Corpus of 800–1,200 pitch decks obtained with consent or license (Dealroom/Crunchbase metadata for matching); (3) Public profiles (LinkedIn/Twitter) and media articles for matched firms; (4) Interview transcripts (45–60) and ethnographic notes; (5) Investor sample (n=400+ angel/VC evaluators) for vignette/conjoint experiments. Baselines: (A) investor evaluations for male-coded pitch versions; (B) models using only firm covariates (sector, stage, revenue); (C) NLP models that use generic sentiment and readability scores (baseline text features). Evaluation metrics: primary—investor evaluation score (Likert), binary funding offer (yes/no), offered funding amount (EUR), time-to-first-round (months); secondary—network centrality (betweenness, degree), brokerage score, NLP gendered-language index (continuous), ATE (average treatment effect), p-values, 95% confidence intervals. NLP metrics: classification accuracy, F1, and fairness metrics across migrant/language groups (group-wise precision/recall). Experimental setup: randomized between-subject vignette/conjoint where identical business information is paired with manipulated visibility cues (doing-gender: masculine competence frames; undoing-gender: collaborative/neutral frames; control: neutral technical framing). Each investor rates 6 randomized vignettes; assignment balanced and pre-registered. Statistical models: linear mixed-effects models for continuous outcomes and logistic mixed models for binary outcomes with random intercepts for investor and firm scenario; covariates include sector, stage, and founder migration status. Causal mediation test: test whether network brokerage (measured from matched network data) mediates the effect of visibility treatment on funding offers using causal mediation models. Ablations: (1) remove network covariates to test effect attenuation; (2) replace full transformer-based text features with baseline sentiment/readability features to measure added value of advanced NLP. Robustness checks: stratified analyses by sector (deep tech vs consumer), by region, and by migration-status subgroups; missing data analysis with multiple imputation.</w:t>
      </w:r>
    </w:p>
    <w:p>
      <w:r>
        <w:t xml:space="preserve"> </w:t>
      </w:r>
    </w:p>
    <w:p>
      <w:pPr>
        <w:pStyle w:val="Heading2"/>
      </w:pPr>
      <w:r>
        <w:t>Risk Factors And Limitations</w:t>
      </w:r>
    </w:p>
    <w:p>
      <w:r>
        <w:t>Legal and privacy risks: GDPR limits on scraping pitch decks and social profiles; need for explicit consent or licensed data. Data bias: self-selection and nonresponse may oversample well-networked founders and underrepresent marginalized migrant groups. Automated gender inference risks misclassification, especially for non-binary or foreign-language names (technical term: gender inference = algorithmic guess of a person's gender from text; simple meaning: it can be wrong). Experimental ecological validity: vignette responses may not match real investment behavior. Scalability and compute: transformer-based NLP on multilingual corpora requires substantial GPU compute and time. Measurement limits: operationalizing 'doing/redoing/undoing' as numeric indices simplifies complex practices and may miss contextual nuance. Generalizability: findings may not transfer outside Germany or to non-tech sectors. Statistical power: subgroup analyses (specific migrant groups) may have low power if oversamples are insufficient.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