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Multiple linear regression analysis of firm-level determinants of export growth in Santander, Colombia (2010–2020)</w:t>
      </w:r>
    </w:p>
    <w:p>
      <w:r>
        <w:t xml:space="preserve"> </w:t>
      </w:r>
    </w:p>
    <w:p>
      <w:pPr>
        <w:pStyle w:val="Heading2"/>
      </w:pPr>
      <w:r>
        <w:t>Short Hypothesis</w:t>
      </w:r>
    </w:p>
    <w:p>
      <w:r>
        <w:t>Controlling for sector and firm size, higher firm liquidity and shorter trade-lane logistics lead times cause greater annual export revenue growth among Santander exporting firms between 2010 and 2020.</w:t>
      </w:r>
    </w:p>
    <w:p>
      <w:r>
        <w:t xml:space="preserve"> </w:t>
      </w:r>
    </w:p>
    <w:p>
      <w:pPr>
        <w:pStyle w:val="Heading2"/>
      </w:pPr>
      <w:r>
        <w:t>Related Work</w:t>
      </w:r>
    </w:p>
    <w:p>
      <w:r>
        <w:t>Prior empirical work uses three main approaches: structural gravity models to explain bilateral trade flows (these focus on country pairs and tariffs), CGE/MRIO models to assess economy-wide value-added and employment effects (these use input-output tables and simulate policy shocks), and firm-level panel regressions that link firm characteristics (productivity, finance access, scale) to export participation and performance. Machine-learning methods (LASSO, random forests) have been used for variable selection and prediction. Reported limitations include: aggregated sectoral focus that misses firm financial detail; weak integration of logistics, regulatory (non-tariff) costs, and finance instruments into single models; endogeneity concerns (reverse causality between growth and access to finance) that many regressions do not address; small or non-representative firm samples; sparse documentation of parameter choices and reproducible data pipelines; and limited validation via historical backcasts or shock experiments.</w:t>
      </w:r>
    </w:p>
    <w:p>
      <w:r>
        <w:t xml:space="preserve"> </w:t>
      </w:r>
    </w:p>
    <w:p>
      <w:pPr>
        <w:pStyle w:val="Heading2"/>
      </w:pPr>
      <w:r>
        <w:t>Abstract</w:t>
      </w:r>
    </w:p>
    <w:p>
      <w:r>
        <w:t>This study analyzes determinants of firm-level export growth in Santander, Colombia from 2010 to 2020 using integrated regional opportunity-map data, firm financials, logistics indicators, and regulatory-cost proxies. We estimate multiple linear regression and panel fixed-effects specifications (a regression that controls for time-invariant firm traits) on a panel of 128 exporting firms to quantify how liquidity, asset structure, firm size, logistics lead times, and certification costs affect export revenue growth. We complement regressions with variable-selection routines (LASSO) and Monte Carlo sensitivity tests (running many simulated samples to test robustness). Main contributions are: a reproducible data repository merging customs, trade, MRIO, LPI, and firm accounts; transparent methods with published parameter ranges; and policy- and firm-level scorecards that translate coefficients into practical actions. Expected outcomes include actionable rankings of binding constraints on growth, quantified marginal effects of finance and logistics frictions, and prioritized pilot criteria for low-risk export scaling.</w:t>
      </w:r>
    </w:p>
    <w:p>
      <w:r>
        <w:t xml:space="preserve"> </w:t>
      </w:r>
    </w:p>
    <w:p>
      <w:pPr>
        <w:pStyle w:val="Heading2"/>
      </w:pPr>
      <w:r>
        <w:t>Experiments</w:t>
      </w:r>
    </w:p>
    <w:p>
      <w:r>
        <w:t>Datasets: (1) Firm panel: standardized financial statements and annual export revenue for 128 Santander exporters, 2010–2020; (2) Trade: UN Comtrade and ITC/Trademap bilateral exports by HS6; (3) MRIO: TiVA/MRIO value-added shares; (4) Logistics: World Bank LPI subcomponents and port/road dwell-time records; (5) Policy: tariff and NTB indicators from WITS and national customs; (6) Regional opportunity map variables. Baselines: pooled OLS, panel fixed-effects (controls for firm fixed traits), LASSO (variable selection), random forest (nonlinear ML baseline), and IV regression (instrumental variables to test endogeneity). Candidate instruments: exogenous local bank branch closures and regional trade-lane disruptions. Evaluation metrics: explanatory fit (R-squared), out-of-sample prediction error (RMSE, MAE), model selection (AIC/BIC), economic significance (marginal effect on percent export growth per unit change), and inference metrics (cluster-robust p-values). Experimental setup: temporal train/validation/test split with rolling windows: train 2010–2016, validate 2017–2018, test 2019–2020. Estimate clustered standard errors by firm and sector. Perform ablation studies: (A) drop all finance variables; (B) drop logistics variables; (C) drop regulatory/certification costs. Compare coefficient stability, R-squared, and out-of-sample RMSE across ablations. Run LASSO to identify a sparse predictor set and compare to OLS coefficients. Conduct Monte Carlo sensitivity: sample elasticity and tariff-pass-through parameter ranges (draw 1,000 simulations) and record distribution of key marginal effects. Validation/backtest: use observed 2019–2020 COVID-era changes as an out-of-sample shock and compare model backcasts to realized firm growth. Significance thresholds: two-sided tests at 5%.</w:t>
      </w:r>
    </w:p>
    <w:p>
      <w:r>
        <w:t xml:space="preserve"> </w:t>
      </w:r>
    </w:p>
    <w:p>
      <w:pPr>
        <w:pStyle w:val="Heading2"/>
      </w:pPr>
      <w:r>
        <w:t>Risk Factors And Limitations</w:t>
      </w:r>
    </w:p>
    <w:p>
      <w:r>
        <w:t>Selection bias: sample of 128 firms may not represent all exporters in Santander, limiting external validity. Endogeneity: reverse causality possible between growth and variables such as finance access (causes biased OLS estimates). Measurement error: inaccuracies in self-reported financials, informal sales, and incomplete NTB records can bias estimates. Small sample and missing data: limited power for detecting small effects and challenges imputing missing logistics or certification cost data. Model misspecification: linear models may omit nonlinearities or interactions critical for some sectors. Instrument weakness: candidate instruments (bank branch closures, disruptions) may be weak or invalid, undermining IV inference. Generalization limits: results are specific to Santander and 2010–2020 institutional context and may not transfer to other regions or post-2020 regimes. Computational limits: Monte Carlo and MRIO calibration require careful parameter choices but are modest in compute for this sample size.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