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precommitment_international_performance</w:t>
      </w:r>
    </w:p>
    <w:p>
      <w:r>
        <w:t xml:space="preserve"> </w:t>
      </w:r>
    </w:p>
    <w:p>
      <w:pPr>
        <w:pStyle w:val="Heading2"/>
      </w:pPr>
      <w:r>
        <w:t>Title</w:t>
      </w:r>
    </w:p>
    <w:p>
      <w:r>
        <w:t>Longitudinal randomized field experiment and structural equation modeling of how pre-commitments affect SMEs' international performance</w:t>
      </w:r>
    </w:p>
    <w:p>
      <w:r>
        <w:t xml:space="preserve"> </w:t>
      </w:r>
    </w:p>
    <w:p>
      <w:pPr>
        <w:pStyle w:val="Heading2"/>
      </w:pPr>
      <w:r>
        <w:t>Short Hypothesis</w:t>
      </w:r>
    </w:p>
    <w:p>
      <w:r>
        <w:t>Providing SMEs with lead-customer pre-commitments (advance purchase orders) causes higher export sales growth and greater probability of continued foreign-market presence over 12 months compared to SMEs that do not receive such pre-commitments.</w:t>
      </w:r>
    </w:p>
    <w:p>
      <w:r>
        <w:t xml:space="preserve"> </w:t>
      </w:r>
    </w:p>
    <w:p>
      <w:pPr>
        <w:pStyle w:val="Heading2"/>
      </w:pPr>
      <w:r>
        <w:t>Related Work</w:t>
      </w:r>
    </w:p>
    <w:p>
      <w:r>
        <w:t>Prior work has examined effectuation (decision rules entrepreneurs use under uncertainty) and real-options reasoning (treating investments as staged, flexible choices) using cross-sectional surveys and retrospective case studies to link entrepreneurial behavior to international outcomes. Existing approaches typically rely on single-source self-reported surveys analyzed with variance-based methods (e.g., PLS-SEM) or on qualitative process tracing. Limitations in current methods include: heavy reliance on cross-sectional designs that weaken causal claims; common-method bias from survey-only measures; unclear measurement models (formative vs. reflective) for commitment constructs; limited use of objective, partner-sourced documents; weak identification against endogeneity (reverse causality, omitted variables); and sparse experimental tests that manipulate pre-commitments directly. Boundary conditions (institutional distance, absorptive capacity) and multi-arm comparisons of different commitment types remain underexplored.</w:t>
      </w:r>
    </w:p>
    <w:p>
      <w:r>
        <w:t xml:space="preserve"> </w:t>
      </w:r>
    </w:p>
    <w:p>
      <w:pPr>
        <w:pStyle w:val="Heading2"/>
      </w:pPr>
      <w:r>
        <w:t>Abstract</w:t>
      </w:r>
    </w:p>
    <w:p>
      <w:r>
        <w:t>Small and medium enterprises (SMEs) often rely on pre-commitments—such as advance purchase orders, distributor MOUs, or training agreements—to reduce uncertainty when entering foreign markets. This study tests whether pre-commitments causally increase international performance (export sales growth, export intensity, time-to-entry, profitability, and survival) and through which mechanisms (uncertainty reduction, resource slack, legitimacy signaling). We combine a randomized field experiment that allocates lead-customer pre-commitments and alternative commitment treatments to SMEs with a three-wave longitudinal design and multi-source data (surveys, contractual artifacts, and archival export records). Analysis uses intent-to-treat and complier-average causal effect estimation, structural equation modeling for mediation, and multilevel models for moderation by absorptive capacity and institutional distance (difference in formal and informal rules between home and foreign markets). The main contribution is a reproducible causal test of how specific pre-commitments produce measurable international outcomes and which mechanisms and boundary conditions shape these effects. Expected impact: clearer guidance for SME internationalization policy and stronger empirical foundations for effectuation theory.</w:t>
      </w:r>
    </w:p>
    <w:p>
      <w:r>
        <w:t xml:space="preserve"> </w:t>
      </w:r>
    </w:p>
    <w:p>
      <w:pPr>
        <w:pStyle w:val="Heading2"/>
      </w:pPr>
      <w:r>
        <w:t>Experiments</w:t>
      </w:r>
    </w:p>
    <w:p>
      <w:r>
        <w:t>Datasets: Recruit SMEs (pilot N=60, full trial target N=400) stratified by industry, size, and prior export experience; collect T1 baseline survey, uploaded contractual artifacts (signed POs, MOUs), and historical export records; T2 mediator survey at 3-6 months; T3 outcomes and archival export data at 12 months. Treatment arms: (A) lead-customer pre-commitment (escrowed advance POs), (B) market-access pre-commitment (temporary distributor shelf-space MOUs), (C) knowledge pre-commitment (formalized training agreements), (D) bundled commitments (A+B+C), (E) control (no intervention). Randomization: firm-level, stratified; log randomization seed and allocation. Baselines for comparison: observational matched-control group drawn from survey-only SMEs (no experiment), and pre-treatment within-firm trends. Evaluation metrics: primary—export sales growth (%) year-on-year, survival in foreign market (binary), export intensity (% of total sales); secondary—time-to-first-export (months), export margin (profitability), number of foreign markets. Mediators: perceived uncertainty reduction (Likert multi-item scale), resource slack index (objective/subjective), legitimacy signal index (partner confirmations). Moderators: absorptive capacity (R&amp;D/training stock), institutional distance (index of regulatory/cultural difference), prior international experience. Statistical analysis: intent-to-treat (ITT) linear and logistic regressions; instrumental-variable CACE where compliance instrumented by assignment; causal mediation analysis via SEM and nonparametric mediation (Imai method) with bootstrapped CIs; multilevel models for clustered standard errors (industry/country). Ablation/comparison studies: single-treatment vs. bundled-treatment effect contrasts; experimental ITT vs. observational PLS-SEM estimates to quantify bias from non-experimental designs; measurement-model ablation testing formative vs. reflective specifications and comparing model fit (RMSEA, CFI) and predictive validity. Power and attrition: plan for 20% attrition; report minimum detectable effects under clustered design and provide pre-registered power calculations in analysis plan.</w:t>
      </w:r>
    </w:p>
    <w:p>
      <w:r>
        <w:t xml:space="preserve"> </w:t>
      </w:r>
    </w:p>
    <w:p>
      <w:pPr>
        <w:pStyle w:val="Heading2"/>
      </w:pPr>
      <w:r>
        <w:t>Risk Factors And Limitations</w:t>
      </w:r>
    </w:p>
    <w:p>
      <w:r>
        <w:t>Noncompliance and low take-up (firms decline or partners withdraw), causing reduced effective sample and bias. Contamination and spillovers between firms (information or partner sharing) that invalidate randomization. Attrition over 12 months, differential by treatment arm, limiting inference. Ethical and legal risks: creating POs or escrows may distort markets or create contractual obligations; requires IRB and legal review. Measurement errors: incomplete documentary verification, inaccurate self-reports, and disputes over what counts as a pre-commitment. Residual endogeneity for non-experimental comparisons despite IVs; instruments may fail exclusion restrictions (they may affect outcomes through other channels). Limited generalizability beyond SMEs in sampled countries, industries, or firm-size strata. Scalability limits: operational costs and partner coordination increase with sample size. Low statistical power for small effect sizes after clustering and attrition. Technical failure modes: treated pre-commitments may not produce real demand (fake POs) or partners may renege, breaking the intended mechanism. Definitions: institutional distance means how different rules, norms, and enforcement are between home and target markets; absorptive capacity means a firm's ability to learn and use external knowledge.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