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config_variability_expertise_study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Measuring developer expertise and engagement in preprocessor-based configurable software systems using variability-aware repository mining and latent-variable modeling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Sustained, variability-specific engagement by a developer (measured as frequent and deep edits to variable code and linked build options) causes an increase in that developer's measured expertise score and reduces configuration-related build or test failures in the projects they contribute to within the following six months.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developer expertise typically uses coarse indicators such as total commits, recent activity, code ownership, and social-network measures. Prior variability and product-line research extracts feature models or parses build options, and separate efforts trace builds or mine CI logs. Shortcomings include limited handling of preprocessor-based variability (e.g., #ifdefs), weak linkage between build-time options and source-level conditionals, reliance on simple heuristics or regexes that yield many false positives, small-scale ground truth or sparse surveys, and inadequate causal identification of how engagement affects outcomes. Tools that normalize features across projects are scarce or non-versioned, and scaling parsing/instrumentation to tens of thousands of repos is underexplored. Privacy and reproducibility safeguards are often underspecified.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who works on variable code in configurable software systems (CSS) and whether common expertise metrics capture that proficiency. We mine large-scale version-control, build, and CI data from a curated set of preprocessor-based CSS projects, extract typed variability artifacts (features, build options, #ifdefs), and link options to source-level conditionals via static parsing and build tracing. We define a canonical feature schema and construct multi-source ground truth combining surveys, expert annotation, and heuristic labels. We build a reproducible latent-variable model of configuration expertise from multiple signals (editing frequency, depth of edits, review activity, time-to-fix, linguistic cues). We evaluate measurement validity and causal relationships between variability engagement and project outcomes using longitudinal mixed-effects models and quasi-experimental designs. Expected outcomes are validated expertise metrics, an open canonical mapping and labeled dataset, and empirical estimates of how variability-focused work affects build/test stability. This enables reproducible, interpretable measurement of configuration expertise across large software ecosystems.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set of 25 preprocessor-based configurable software system (CSS) projects (C/C++ codebases using CMake, Kconfig, Autotools, Bazel) comprising ~tens of thousands of commits and developers; pilot set of 8 additional repos stratified by ecosystem (Kconfig-heavy, CMake-heavy, Bazel, Autotools) and size (small/medium/large). Also collect CI logs and a build-instrumentation corpus of per-config build traces for 10 projects. Baselines: (1) standard expertise metrics: total commits, recent 6-month commits, code ownership fraction, core-team label; (2) naive variability heuristics: regex-based detection of configuration edits; (3) variability-agnostic latent model using only commit counts. Signals: direct (counts of variability edits), depth (cross-cutting edits, feature-model edits), behavioral (time-to-fix config failures), linguistic (commit/PR text mentions). Ground truth: developer survey (target N=500 responses), expert annotation of 1,000 sampled developer histories, and percentile heuristics for automated labels. Evaluation metrics: parser and extractor precision/recall/F1 (target &gt;0.80 for acceptance), canonical mapping coverage (fraction of parsed artifacts with stable IDs), expertise prediction AUC/ROC and accuracy for tier labels, RMSE and calibration for continuous latent score, Cohen's kappa for tier label agreement (target kappa&gt;0.7), causal estimand: change in configuration-related failure rate (DiD estimate) and effect on future expertise (mixed-effects coefficient with 95% CI). Experimental setup: split developers by time for train/validation/test (train on t0..t2, test on t3..t4); 5-fold cross-validation for predictive models; label collection uses active learning to prioritize ambiguous histories until 5,000 labeled examples or label budget exhausted. Ablations: (A1) remove build-trace linkage (use static-only), (A2) remove linguistic signals, (A3) remove depth signals, (A4) replace AST parsing with regex parsing; compare performance drop via delta-AUC, delta-F1. Causal tests: event-study DiD around exogenous events (CI adoption, feature-model introduction) with parallel-trends checks and placebo windows; estimate heterogeneous effects by project size. Validation: compare latent scores to survey self-reports (Spearman rho, AUC), report inter-rater agreement for manual labels, and publish reproducible analysis containers and sanitized snapshots for audit.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build instrumentation may fail due to non-reproducible builds, generated files, or environment-dependent failures; static parsers can produce false positives/negatives (regex vs AST tradeoffs). Data and labeling biases: survey non-response and self-selection may skew ground truth; expert annotation is costly and may not scale. Causal limitations: unobserved confounders and imperfect instruments may limit causal claims; exogenous events for DiD may be rare. Scalability and cost: instrumenting builds and storing per-config traces is compute- and storage-intensive; running large ETL on thousands of repos may require substantial cloud resources. Generalization limits: methods tuned for preprocessor-based C/C++ ecosystems may not transfer directly to other languages or runtime-flag heavy systems. Privacy and ethics: anonymization can reduce analytical granularity and may limit linkability between signals. Evaluation constraints: acceptance thresholds (e.g., parser F1 &gt;0.80, kappa&gt;0.7) may not be met for all ecosystems.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