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refa_devops_longitudinal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Longitudinal evaluation of policy-as-code gates for aligning DevOps pipelines with IEC 62443-4-1 security compliance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blocking policy-as-code gates at pre-merge pipeline stages causally reduces compliance drift (measured as policy violations per 100 commits over time) compared to advisory gates or no gates, while increasing average pipeline latency.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embed security into development pipelines (DevSecOps) using scanners, software bill-of-materials (SBOM) generation, and policy-as-code tools (writing enforcement rules as code). Policy-as-code (tools like Open Policy Agent) and Kubernetes admission controllers (Gatekeeper/Kyverno) enable automated enforcement. Prior work has focused on point-in-time validation, tool chaining (scanners + SCA + IaC checks), and fast feedback in CI. Limitations: (1) Few reproducible, multi-team longitudinal studies quantify long-term compliance drift or developer behavior under different gate policies; (2) Tool heterogeneity (different scanners, rule implementations) confounds attribution of effects to gate design; (3) Most studies lack standardized telemetry linking policy decisions to remediation actions and audit evidence; (4) There is little guidance on governance for mid-study policy changes and on safe synthetic-violation seeding; (5) Metrics definitions and power targets are often informal, preventing pre-registered causal inference and replication.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Many organizations must align fast DevOps practices with formal security standards (IEC 62443-4-1) but lack rigorous evidence on how policy-as-code gates affect continuous compliance and developer workflow. We propose a longitudinal study that embeds versioned policy-as-code rules at defined CI/CD stages and measures how differing gate types (blocking vs advisory) change compliance drift, remediation behavior, and pipeline throughput over time. The main contribution is a reproducible, mixed-methods evaluation linking policy decision logs to remediation events and developer feedback, producing concrete metrics and a pre-registered analysis plan. Expected outcomes are quantifiable effect estimates for gate placement and type, a validated metric set (including compliance drift and time-to-remediate), and operational recommendations for policy governance in regulated contexts. This work aims to provide evidence-based guidance for teams transforming toward secure DevOps while meeting regulatory audit requirements.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deployment: - Synthetic seed dataset: 40 seed microservice repositories (seed-apps) with reproducible commits and controlled synthetic violations. - Team deployment scenarios: two sampling scenarios (A and B) for power planning: Scenario A (modest): 4 arms x 8 teams = 32 teams, 26 weeks observation, average 50 commits/week/team; detects ~20% relative change. Scenario B (ambitious): 4 arms x 16 teams = 64 teams, 52 weeks observation; detects ~10–15% change. Assumptions: intraclass correlation (ICC)=0.1, alpha=0.05, power=0.80. Baselines: - baseline (no gates), advisory gates (non-blocking; reports only), blocking pre-merge gates (prevent merge), progressive tightening (advisory then escalate to blocking). Tool standardization: standardize scanners and policy engine across arms (single scanner set) where possible; record tool metadata as covariates when not standardized. Metrics (definitions and extraction): - compliance_drift (violations per 100 commits per week): compliance_drift_week = (SUM(violation_flag) / SUM(commit_count)) * 100. SQL example: SELECT repo, date_trunc('week', ts) AS week, COUNT(*) AS commits, SUM(CASE WHEN violation=1 THEN 1 ELSE 0 END) AS violations FROM commit_events GROUP BY repo, week; - time_to_remediate (in hours): time between violation_detection_ts and remediation_commit_ts; survival outcome. SQL example: SELECT v.violation_id, EXTRACT(EPOCH FROM (r.ts - v.ts))/3600 AS hours FROM violations v JOIN remediations r ON r.violation_id = v.id WHERE r.remediation_type='fix'; - false_positive_rate = FP / (FP + TN), false_negative_rate = FN / (FN + TP), using seeded violations as ground truth. - pipeline_latency_overhead = avg_latency_with_gate - avg_latency_baseline; percent_increase = pipeline_latency_overhead / avg_latency_baseline *100. Evaluation metrics: deploys_per_day, pipeline_latency (median and 95th pct), compliance_drift slope (weekly), median time_to_remediate, hazard ratios (Cox model), false pos/neg rates, developer survey Likert scores, rollback counts, PR rework counts. Experimental setup: - Randomize teams/repos to arms with stratification by team maturity. - Seed synthetic violations at controlled intervals and label ground truth. - Collect telemetry: CI logs, OPA decision logs, scanner reports, SBOMs, Kubernetes audit logs, Git history. - Statistical analysis: difference-in-differences (staggered adoption estimators like Callaway &amp; Sant'Anna), interrupted time series segmented regression, mixed-effects GLM (negative binomial for counts), Cox proportional hazards for remediation; cluster-robust SEs. Comparison/ablation studies: - Gate placement ablation: compare pre-commit, pre-merge, pre-deploy, and runtime admission gates. - Gate type ablation: advisory vs blocking vs progressive escalation. - Scanner ablation: compare two scanner stacks as covariate (e.g., Trivy vs Snyk) to measure tool effects. Deliverables per run: pre-registered SAP, reproducible dataset exports (with provenance metadata), and analysis notebooks implementing ITS/DiD and survival models.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pipeline instrumentation failures, lost telemetry, or incorrect timestamps causing broken event linkage (policy decision not traceable to remediation). Data/evaluation biases: seeded violations may not represent real faults; developer behavior may change due to observation (Hawthorne effect). Measurement bias from tool heterogeneity: different scanners and policy engines produce different detection signals that can confound gate-effect estimates. Scalability and compute: high-frequency telemetry and scanner runs produce storage and compute costs that may limit observation windows. Generalization limits: results from seed apps and participating organizations may not transfer to different domains, languages, or CI/CD complexity. Ethical and safety risks: synthetic-violation seeding risks accidental propagation to production or exposure of sensitive data. Statistical limits: cluster sizes and attrition reduce power; unobserved confounding may bias causal estimates in non-randomized settings. Privacy risks: telemetry linking developer identifiers to remediation actions may expose personal data and require consent and IRB oversight.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