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frequency_metadescriptor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Frequency-filtered metadescriptors for identifying and grouping concepts in nonstationary data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Selecting frequency components whose variance across sequential data batches exceeds a fixed threshold and using them as metadescriptors causes downstream clustering to yield higher adjusted Rand index (ARI) on labeled nonstationary streams than clustering on raw sample feature vectors.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Time–frequency (TF) methods such as short-time Fourier transform (STFT), synchrosqueezing (SST) and reassignment improve localization of time-varying spectral content but can be sensitive to noise, parameter choices, and dense instantaneous-frequency (IF) crossings. Multitaper and ConceFT reduce variance and leakage but increase compute and are not always adapted per-component. Model-based decompositions (time-varying AR, VMD) give structured components but require correct model order and break down under heavy mixing or non-Gaussian noise. Probabilistic TF approaches (local Whittle, GP priors over log-spectrum) provide uncertainty estimates but are computationally heavy and rarely used online. Deep TF layers and hybrid ML architectures can learn task-specific features but risk losing invertibility and interpretability unless constrained. Benchmarking and reproducibility are limited: standard datasets, per-bin uncertainty calibration, and clear failure-mode characterizations (e.g., sub-Nyquist IF variation, extreme crossing density) are missing. Existing methods therefore lack a lightweight, semantically meaningful, low-dimensional descriptor that (1) preserves component identity across batches, (2) supports clustering of concepts, and (3) yields interpretable reconstructions.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characterizing and grouping concepts in nonstationary data streams by introducing a frequency-filtering metadescriptor: a low-dimensional descriptor formed by selecting informative frequency components from sample feature vectors and filtering them by variance across sequential data batches. A metadescriptor here means a compact summary vector that captures which frequency bins are informative for a local data chunk; frequency filtering refers to keeping components whose variance across batches is high (informative) and discarding low-variance (uninformative) bins. The main contribution is a reproducible pipeline that (i) computes per-sample frequency representations, (ii) ranks frequency bins by inter-batch variance, (iii) constructs metadescriptors by variance-thresholding and optional projection, and (iv) uses these metadescriptors for clustering, concept identification, and visual reconstruction in the original spatial domain. Expected outcomes are improved clustering of concept-specific chunks, reduced dimensionality with preserved semantic meaning, and interpretable reconstructions that enable diagnostics of failure modes in noisy, low-SNR, or crossing-frequency regimes.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Synthetic suite: (a) intersecting chirps (two to four components with controlled crossing density), (b) intermittent bursts (sparse events), (c) colored-noise backgrounds (1/f and AR(1) noise) across SNRs {−5,0,5,10,20} dB; sampling rates 8 kHz and 16 kHz. 2) Semi-synthetic: real noise recordings (EEG baseline noise, seismic noise, environmental audio) with injected simulated TF components. 3) Real data: public EEG segments with event labels, seismic microseismic events, and bioacoustic calls with time annotations. Baselines: A) raw feature clustering (time-domain feature vectors) + k-means/GMM; B) STFT magnitude features + PCA + clustering; C) STFT+SST ridge feature pipeline; D) multitaper/ConceFT spectral features; E) model-based TF features (VMD or TVAR coefficient features); F) end-to-end learned TF layer features (trainable TF block) with same clustering head. Metrics: clustering: adjusted Rand index (ARI), normalized mutual information (NMI); TF accuracy: instantaneous-frequency RMSE (match true ridges via Hungarian assignment when multiple components), ridge hit rate and false ridge rate; reconstruction: per-component MSE and signal-to-interference ratio (SIR); concentration: Rényi entropy of TF map; uncertainty: per-bin coverage probability and calibration curve (for any probabilistic outputs). Latency/throughput: frames per second, end-to-end wall-clock latency on three hardware targets (ARM Cortex-A72 single-board, desktop CPU Intel i7, NVIDIA RTX GPU). Experimental setup: fixed random seeds, 30 independent trials per SNR and scenario, 5-fold cross validation where labels exist. Parameter grid: window lengths Tw in {64,128,256,512} ms, NW in {2,3,4}, taper counts K={3,5,7}, variance-thresholds at percentiles {50,75,90} to form metadescriptors. Statistical tests: paired Wilcoxon signed-rank test on ARI across trials with Bonferroni correction. Ablations: (1) metadescriptor without variance filtering (all frequency bins kept), (2) variance computed across time within batches instead of across batches, (3) reduced bin counts via PCA after variance-filtering, (4) replace variance-threshold with learned selection (supervised selector) to compare hand-tuned versus learned selection. Report: mean±95% CI for each metric, runtime per frame, and failure cases where ARI drops below raw-feature baseline.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dense instantaneous-frequency crossings with many overlapping components can cause frequency-bin variance to mix component signatures, producing ambiguous metadescriptors; sub-Nyquist IF variations (fast IF changes within a frame) violate analysis window assumptions and reduce TF resolution. Noise and distributional limits: heavy-tailed or nonstationary noise that changes faster than batching will bias variance estimates and may select spurious bins. Model assumptions: the method assumes a meaningful frequency representation exists per sample and that informative bins produce higher variance across concept changes; this may not hold for purely time-domain or impulsive features. Scalability and compute: computing multitaper or ConceFT ensembles and per-batch variance at high sampling rates and many channels has high CPU/GPU cost and memory usage; per-ridge refinement increases worst-case latency under many simultaneous ridges. Uncertainty quantification limits: per-bin UQ derived from simple bootstraps or local periodograms may be miscalibrated under model mismatch. Evaluation biases: synthetic scenarios may not capture all real-world variability; labelled real datasets may have annotation errors that bias measured ARI. Generalization limits: method may not directly extend to asynchronous multivariate channels, heavily mixed sources, or cases where spectral content does not map to semantic concepts.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