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bridging_simulation_experiment_ssda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Self-supervised domain adaptation using synthetic coda-wave simulations for concrete damage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self-supervised domain adaptation pipeline that pretrains on large labeled synthetic coda-wave data and adapts to unlabeled experimental measurements using domain adversarial training, minimum class confusion loss, and BYOL will increase F1-score on experimental concrete damage classification by at least 10 percentage points relative to a model trained only on labeled synthetic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falls into three main groups: (1) physics-based simulation to produce synthetic datasets (multiscale fracture models, ultrasonic wave propagation), (2) domain adaptation methods that align feature distributions between simulated and real data (adversarial approaches like DANN, moment-matching such as MMD, and style-transfer like CycleGAN), and (3) self-supervised representation learning (contrastive methods and BYOL-style bootstrapped learning). Limitations in current approaches include persistent sim-to-real gaps when physics variability or sensor artifacts are not fully modeled, weak use of multi-modal co-registration (optical, CT, ultrasound) to learn modality-invariant features, scarce integration of uncertainty-aware pseudo-labeling, and few studies that combine high-fidelity simulation ensembles with joint adversarial and contrastive self-supervised adaptation. Prior methods also often lack quantitative calibration of simulation parameters to experiments and do not standardize morphology-aware metrics for structural relevance.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transferring damage-classification models from physics-based synthetic data to unlabeled experimental measurements for concrete structures. We propose a simulation-driven self-supervised domain adaptation framework that leverages large-scale synthetic coda-wave datasets (coda-wave = scattered ultrasonic waves) generated by multiscale fracture and elastodynamic simulations, and a joint adaptation pipeline combining BYOL pretraining (a bootstrapped self-supervised method), domain-adversarial alignment, and minimum class confusion loss. The main contribution is an integrated workflow that couples physics-rich synthetic data, uncertainty-aware pseudo-labeling, and morphology-preserving style consistency to reduce the simulated-to-real gap without requiring extensive experimental labels. Expected outcomes are improved classification accuracy and calibration on real test specimens, measurable reduction in domain-gap metrics, and a reproducible dataset-and-pipeline baseline for further structural-health-monitoring research. The approach aims to lower dependence on labeled experiments while producing morphology-aware outputs relevant to inspection and risk assessment.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corpus: 20,000 simulated specimens with paired modalities (RGB, CT-like volumes, ultrasound coda-wave traces) and pixel/voxel crack masks; parameterized across aggregate size, ITZ strength, loading modes, and sensor models. (2) Real dataset: 600 experimental specimens across specimen types (prisms, beams, cylinders) with multimodal captures; 120 specimens reserved for labeled validation (destructive ground-truth on 40 of these). Baselines: (A) synthetic-only supervised training, (B) supervised fine-tune on the 120 labeled real specimens, (C) adversarial domain adaptation (DANN), (D) MMD-based alignment, (E) BYOL pretrain then synthetic-only supervised. Proposed pipeline: BYOL pretraining on synthetic, domain-adversarial alignment on encoder features, minimum class confusion (MCC) loss for class separation, physics-conditioned CycleGAN style consistency, and iterative pseudo-labeling with ensemble uncertainty thresholding. Metrics: classification accuracy, macro F1, IoU for segmentation, Expected Calibration Error (ECE), skeleton IoU (skeleton = 1-pixel-wide crack centerline), crack-length distribution KS test (Kolmogorov-Smirnov p-value), Frechet Inception Distance (FID) per modality, embedding MMD. Experimental setup: 5-fold cross-validation across specimen-level splits; hold out entire specimen types for generalization tests; report mean and 95% confidence intervals. Ablations: (1) remove BYOL pretraining, (2) remove adversarial loss, (3) remove MCC loss, (4) remove style-transfer consistency. Additional comparison: iterative pseudo-labeling vs single-step adaptation. Compute: run each experiment with three random seeds on identical training schedules; provide training wall-clock and GPU-hours per experiment.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simulated physics may omit key real-world effects (microcracking, humidity-driven damage) producing non-overlapping distributions; adversarial alignment can collapse features or align non-informative cues. Data and evaluation biases: limited real specimens may underrepresent rare but critical crack types (edge-case bias), and destructive ground-truth is only on a subset causing verification gaps. Scalability and compute: high-fidelity phase-field + elastodynamic simulations and BYOL pretraining require substantial compute (many GPU/CPU-hours), limiting rapid iteration. Noise and artifact limits: inaccurate sensor noise/artifact models (CT beam hardening, ultrasound attenuation, optical PSF) reduce adaptation effectiveness. Identifiability limits: multiple simulation parameter settings can produce similar observables, yielding non-identifiable posterior parameter distributions when calibrating simulations to multimodal data. Uncertainty limits: aleatoric (measurement) and epistemic (model) uncertainties may be hard to disentangle in SSL encoders, reducing reliability of pseudo-label thresholds. Generalization limits: models adapted to lab-scale specimens may not transfer directly to field structures with different scale, reinforcement, or boundary conditions.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