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a2ar_cp_csf_ventriculomegaly</w:t>
      </w:r>
    </w:p>
    <w:p>
      <w:r>
        <w:t xml:space="preserve"> </w:t>
      </w:r>
    </w:p>
    <w:p>
      <w:pPr>
        <w:pStyle w:val="Heading2"/>
      </w:pPr>
      <w:r>
        <w:t>Title</w:t>
      </w:r>
    </w:p>
    <w:p>
      <w:r>
        <w:t>Integrated genetic, pharmacologic, imaging and molecular analysis of adenosine A2A receptor signaling in the choroid plexus driving CSF hypersecretion and ventriculomegaly in hydrocephalus</w:t>
      </w:r>
    </w:p>
    <w:p>
      <w:r>
        <w:t xml:space="preserve"> </w:t>
      </w:r>
    </w:p>
    <w:p>
      <w:pPr>
        <w:pStyle w:val="Heading2"/>
      </w:pPr>
      <w:r>
        <w:t>Short Hypothesis</w:t>
      </w:r>
    </w:p>
    <w:p>
      <w:r>
        <w:t>Activation of adenosine A2A receptors in choroid plexus epithelial cells increases CSF production and causes ventricular enlargement via PI3K/AKT-dependent SPAK phosphorylation and NF-κB-driven upregulation of ATP1A2, and pharmacologic A2A antagonism prevents these effects.</w:t>
      </w:r>
    </w:p>
    <w:p>
      <w:r>
        <w:t xml:space="preserve"> </w:t>
      </w:r>
    </w:p>
    <w:p>
      <w:pPr>
        <w:pStyle w:val="Heading2"/>
      </w:pPr>
      <w:r>
        <w:t>Related Work</w:t>
      </w:r>
    </w:p>
    <w:p>
      <w:r>
        <w:t>Existing work shows adenosine receptors modulate neuronal and vascular signaling and that the choroid plexus (CP) is the main site of CSF production. Prior studies linked NKCC1 and Na+/K+-ATPase activity to CP fluid secretion and identified kinases like SPAK that regulate ion transporters. PI3K/AKT and NF-κB pathways have been implicated broadly in cell signaling and transcriptional control, but their roles in CP A2A signaling are not resolved. Pharmacologic A2A antagonists (including istradefylline) are clinically available, but prior preclinical work lacks CP-specific genetic manipulations, longitudinal in vivo CSF production with MRI/ICP correlation, and integrated phosphoproteomic-to-function evidence. Limitations in the field include reliance on non-CP-specific systemic drug effects, incomplete receptor-subtype controls (A1/A2B/A3), scarce phospho-site mapping on CP transporters, and limited cross-species validation in human CP tissue.</w:t>
      </w:r>
    </w:p>
    <w:p>
      <w:r>
        <w:t xml:space="preserve"> </w:t>
      </w:r>
    </w:p>
    <w:p>
      <w:pPr>
        <w:pStyle w:val="Heading2"/>
      </w:pPr>
      <w:r>
        <w:t>Abstract</w:t>
      </w:r>
    </w:p>
    <w:p>
      <w:r>
        <w:t>Hydrocephalus involves excessive cerebrospinal fluid (CSF) accumulation and ventricular enlargement (ventriculomegaly). We propose to test whether abnormal signaling through the adenosine A2A receptor (A2AR) in the choroid plexus (CP) increases CSF secretion and drives ventriculomegaly. Our approach combines CP-targeted genetics (inducible Adora2a conditional knockout and AAV-based overexpression), selective pharmacology (A2A agonists/antagonists including istradefylline), molecular readouts (cAMP, PI3K/AKT, SPAK phosphorylation, NF-κB activity, ATP1A2 expression), ex vivo CP fluid assays, and in vivo MRI volumetry, ventriculo-cisternal perfusion and intracranial pressure telemetry. SPAK is a kinase that can change transporter function by adding phosphate groups; NF-κB is a transcription factor that controls gene expression; ATP1A2 encodes a subunit of the Na+/K+-ATPase, a pump important for ion gradients. The main contribution is a causal, multi-level test linking A2AR activation to transporter regulation and CSF dynamics, with preclinical evaluation of A2AR antagonism as therapy. Expected outcomes are (1) demonstration of CP-autonomous A2AR control of CSF secretion and ventricle size, (2) mapping of PI3K/AKT–SPAK and NF-κB–ATP1A2 mechanisms, and (3) PK/PD data supporting repurposing istradefylline for hydrocephalus studies.</w:t>
      </w:r>
    </w:p>
    <w:p>
      <w:r>
        <w:t xml:space="preserve"> </w:t>
      </w:r>
    </w:p>
    <w:p>
      <w:pPr>
        <w:pStyle w:val="Heading2"/>
      </w:pPr>
      <w:r>
        <w:t>Experiments</w:t>
      </w:r>
    </w:p>
    <w:p>
      <w:r>
        <w:t>Datasets and biological models: primary murine CP epithelial cells, primary human CP epithelial cells (surgically obtained), Z310 rat CP cell line, acute mouse CP explants, Adora2a floxed mice with Ttr-CreER or Foxj1-CreER (inducible CP KO), Adora2a germline KO controls, AAV-Adora2a and AAV-shSPAK constructs, kaolin-induced hydrocephalus model in mice. Baselines and control arms: vehicle control (ICV or systemic), Adora2a CP-specific KO, systemic istradefylline treatment, nonselective agonist NECA, selective A2A agonist CGS-21680, A1/A2B/A3 antagonists as receptor-subtype controls, SPAK knockdown. Receptor validation dataset: radioligand binding (e.g., [3H]-CGS21680) to derive Kd and Bmax; include Adora2a KO tissue for specificity. Primary endpoints and metrics: CSF production rate by ventriculo-cisternal perfusion (μL/min), ventricular volumes from high-resolution MRI (mm3), intracranial pressure (ICP) mean and pulse amplitude (mmHg), ex vivo CP fluid secretion (μL/hour), transepithelial short-circuit current (μA/cm2), ouabain-sensitive Na+/K+-ATPase activity (enzyme units), cAMP levels (pmol/mg protein), pAKT and pSPAK abundance (normalized band intensity), NF-κB reporter activity (relative luminescence), ATP1A2 mRNA (qPCR copies) and protein (normalized Western intensity). Experimental setup: in vitro ligand dose–response (CGS-21680 1 nM–1 μM, NECA 10 nM–500 nM) with cAMP FRET sensors and pCREB readout; receptor internalization by SNAP-tag surface labeling; SPAK and ATP1A2 phospho-site mapping by phosphoproteomics at 5–60 min post-stimulation. In vivo pharmacology: ICV single-dose range 0.1–10 μM in 2–5 μL for CP targeting; systemic dosing pilot 0.01–1 mg/kg with PK sampling. Sample sizes: n=8–12 per group for longitudinal MRI endpoints; n=6–8 per group for molecular assays. Blinding and randomization: all imaging and endpoint analyses blinded to treatment; randomized assignment. Statistical analysis: mixed-effects longitudinal models for MRI/ICP, ANOVA for acute assays, multiplicity correction by Benjamini–Hochberg, pre-specified exclusion criteria (surgical misplacement, anesthesia instability). Comparison/ablation studies: (1) CP-specific Adora2a KO versus systemic istradefylline to separate CP-autonomous and peripheral drug effects; (2) SPAK knockdown (siRNA/CRISPR in CP cells and AAV-shSPAK in vivo) versus control to test necessity of SPAK phosphorylation for transporter changes. PK/PD and receptor specificity assays: measure drug concentrations in plasma, CSF and CP tissue by LC-MS/MS and test A1/A2B/A3 activity by qPCR and functional blockade. Evaluation thresholds: &gt;20% change in CSF production or ventricular volume considered biologically meaningful for decision gates.</w:t>
      </w:r>
    </w:p>
    <w:p>
      <w:r>
        <w:t xml:space="preserve"> </w:t>
      </w:r>
    </w:p>
    <w:p>
      <w:pPr>
        <w:pStyle w:val="Heading2"/>
      </w:pPr>
      <w:r>
        <w:t>Risk Factors And Limitations</w:t>
      </w:r>
    </w:p>
    <w:p>
      <w:r>
        <w:t>Antibody and reagent specificity: phospho-specific and A2A antibodies may show non-specific binding in CP tissue. Species differences: rodent CP signaling and transporter expression may not mirror human CP. Off-target receptor effects: systemic ligands may activate A1/A2B/A3 receptors and peripheral adenosine signaling, confounding CP-specific interpretation. Blood–brain barrier and PK: systemic dosing may not reach CP at effective concentrations or may produce peripheral side effects; ICV delivery has limited clinical translatability. Surgical and measurement variability: ICV cannulation, ventriculo-cisternal perfusion, and ICP telemetry have technical failure modes and inter-operator variability. Imaging limits: small-animal MRI spatial resolution and motion artifacts can bias ventriculomegaly measures. Genetic model caveats: inducible Cre lines may have incomplete recombination or off-target expression; developmental compensation can still occur with timing errors. Cell models and explants: cultured cells may lose polarity and in vivo transporter regulation; explant viability is time-limited. Statistical and power risks: effect sizes may be smaller than projected, leading to underpowered comparisons. Translational gaps: human CSF biomarker detection sensitivity may limit translation and access to human CP tissue is constrained by ethics and availability.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