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analytical_errors_sixsigma_retrospective_2021_2023</w:t>
      </w:r>
    </w:p>
    <w:p>
      <w:r>
        <w:t xml:space="preserve"> </w:t>
      </w:r>
    </w:p>
    <w:p>
      <w:pPr>
        <w:pStyle w:val="Heading2"/>
      </w:pPr>
      <w:r>
        <w:t>Title</w:t>
      </w:r>
    </w:p>
    <w:p>
      <w:r>
        <w:t>Retrospective descriptive and six-sigma analysis of analytical errors in a Thai Red Cross general hospital laboratory from 2021 to 2023</w:t>
      </w:r>
    </w:p>
    <w:p>
      <w:r>
        <w:t xml:space="preserve"> </w:t>
      </w:r>
    </w:p>
    <w:p>
      <w:pPr>
        <w:pStyle w:val="Heading2"/>
      </w:pPr>
      <w:r>
        <w:t>Short Hypothesis</w:t>
      </w:r>
    </w:p>
    <w:p>
      <w:r>
        <w:t>Reagent lot changes, instrument maintenance events within 72 hours, and operator experience below one year each increase the per-test probability of an analytical error compared with stable reagent lots, no recent maintenance, and operators with at least one year of experience.</w:t>
      </w:r>
    </w:p>
    <w:p>
      <w:r>
        <w:t xml:space="preserve"> </w:t>
      </w:r>
    </w:p>
    <w:p>
      <w:pPr>
        <w:pStyle w:val="Heading2"/>
      </w:pPr>
      <w:r>
        <w:t>Related Work</w:t>
      </w:r>
    </w:p>
    <w:p>
      <w:r>
        <w:t>Prior work has focused on three main approaches to reduce laboratory errors: stronger internal quality control (QC) using rule-based charts (e.g., Westgard), automation and middleware autoverification to reduce manual steps, and machine-learning anomaly detection on QC or instrument logs. Comparative limitations include: QC work typically reports aggregate failure rates without per-analyte sigma metrics or stop-rule harmonization; middleware studies often lack robust validation against clinical outcomes and can produce workflow bottlenecks; automation reports emphasize throughput gains but do not consistently reduce rare critical analyte errors; AI/anomaly methods are promising but suffer from small labeled datasets, high false-positive rates, and limited prospective validation. Few studies integrate harmonized ETL from LIS/instrument logs with incident reports and EQA to produce reproducible, per-analyte longitudinal analyses. Existing work therefore leaves open how reagent, maintenance, and operator factors quantitatively drive analytic errors and how combined statistical and anomaly-detection methods perform in a real hospital setting.</w:t>
      </w:r>
    </w:p>
    <w:p>
      <w:r>
        <w:t xml:space="preserve"> </w:t>
      </w:r>
    </w:p>
    <w:p>
      <w:pPr>
        <w:pStyle w:val="Heading2"/>
      </w:pPr>
      <w:r>
        <w:t>Abstract</w:t>
      </w:r>
    </w:p>
    <w:p>
      <w:r>
        <w:t>Analytical errors in hospital laboratories can cause delayed or incorrect clinical decisions. We propose a retrospective, reproducible study of analytical-error records from 2021–2023 in a Thai Red Cross general hospital laboratory that combines descriptive statistics, six-sigma metrics (a measure of process performance; higher sigma = fewer defects), multivariable risk modeling, interrupted time-series (ITS) analysis, and comparative anomaly-detection methods. The approach links LIS test events, QC runs, instrument logs, reagent-lot and maintenance records, and incident reports into a harmonized dataset. Main contributions are: (1) quantitative per-analyte sigma metrics and operational KPI definitions; (2) causal risk estimates for reagent changes, maintenance, and operator experience using mixed-effect regression; and (3) a head-to-head comparison of simple control-chart methods versus supervised and unsupervised anomaly detectors for early drift detection. Expected outcomes include prioritized, evidence-based corrective actions, validated alerting approaches with measured false-positive rates, and reproducible datasets and analysis code to support quality-improvement decisions.</w:t>
      </w:r>
    </w:p>
    <w:p>
      <w:r>
        <w:t xml:space="preserve"> </w:t>
      </w:r>
    </w:p>
    <w:p>
      <w:pPr>
        <w:pStyle w:val="Heading2"/>
      </w:pPr>
      <w:r>
        <w:t>Experiments</w:t>
      </w:r>
    </w:p>
    <w:p>
      <w:r>
        <w:t>Datasets: (1) Laboratory Information System (LIS) records of all tests and timestamps, 2021-01-01 to 2023-12-31; (2) QC logs (daily runs, values, Westgard flags); (3) instrument/middleware event logs (errors, maintenance, power events); (4) reagent lot registry (lot ID, in-use intervals); (5) incident reports and EQA results; (6) limited de-identified clinical outcome linkage for critical analytes where governance permits. Preprocessing: harmonize assay codes to canonical assay_id (map to LOINC where possible), create one row per test event with reagent_lot, instrument_id, operator_experience_months, QC_flag_near_test (QC run within 24h), maintenance_within_72h boolean, and error_label (binary: incident classified as analytical error). Baselines: current-practice QC-only detection; control-chart rule (standard Westgard single and multirule); and no-anomaly model. Models and analyses: 1) Descriptive: monthly analytical error rate per 10,000 tests; per-analyte sigma metric (sigma = (spec limit - process mean)/SD, explained as process-capability measure). 2) Risk modelling: generalized linear mixed model (GLMM) with logit link, random intercepts for instrument_id and assay_id, predictors: maintenance_within_72h, reagent_lot_change_within_7d, operator_experience_category (&lt;12m, 12-36m, &gt;36m), test_volume_per_day, time_of_day; report adjusted odds ratios and 95% CIs. 3) Causal/time analysis: segmented ITS around documented interventions (e.g., QC rule changes) or major maintenance, estimating level and slope changes in error rate; include seasonal terms and AR(1) errors. 4) Anomaly-detection comparison: methods — (a) control charts (Levy-Jennings/Westgard rules), (b) unsupervised autoencoder on QC+instrument log features (autoencoder = neural network that learns normal patterns), (c) supervised gradient-boosted tree (XGBoost) trained to predict error_label. Train/holdout: time-based split (train: 2021-01-01 to 2022-12-31; test: 2023-01-01 to 2023-12-31) to reflect deployment. Evaluation metrics: primary — sensitivity and false-positive rate at operational thresholds; secondary — precision@k, AUC-ROC, time-to-detection (median lead time before incident report), change in monthly error rate per 10,000 tests. Ablation studies: (i) GLMM with and without maintenance/reagent/operator features to quantify incremental explanatory power (compare AIC, BIC, and variance explained); (ii) autoencoder trained on QC features only versus QC+instrument logs; (iii) supervised model with and without operator_experience to measure contribution. Baseline comparisons: current-practice control-chart detection and QC-only alarming. Power: using historical average error rate R and test volume V, compute detectable relative reduction δ in ITS with alpha=0.05 and power=0.8; report minimum detectable effect per analyte and aggregate to prioritize analytes with sufficient volume. Deliverables: pre-registered analysis plan, code notebooks for ETL and models, and a dashboard containing per-analyte KPIs and anomaly alerts derived from chosen model.</w:t>
      </w:r>
    </w:p>
    <w:p>
      <w:r>
        <w:t xml:space="preserve"> </w:t>
      </w:r>
    </w:p>
    <w:p>
      <w:pPr>
        <w:pStyle w:val="Heading2"/>
      </w:pPr>
      <w:r>
        <w:t>Risk Factors And Limitations</w:t>
      </w:r>
    </w:p>
    <w:p>
      <w:r>
        <w:t>Missing or inconsistent records (e.g., unlabeled reagent lots, missing operator IDs) can bias results and reduce power. Error labeling (incident reports) may undercount analytical errors (reporting bias). Confounding: maintenance events or reagent changes may correlate with other factors (e.g., high workload) that drive errors, limiting causal claims. Rare critical analytes have low event counts, producing unstable sigma estimates and wide confidence intervals. Anomaly-detection methods may have high false-positive rates, causing alert fatigue; supervised models require labeled error examples that may be scarce. Time-based train/test split risks distribution shifts (new instruments or procedures in 2023) that reduce model performance. Compute needs for unsupervised deep models are moderate but feasible; however, tuning requires expertise. Generalizability is limited to hospitals with similar LIS/middleware data richness and staffing; results may not transfer to settings with different workflows or test mixes.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