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anion_gap_lactate_sepsis_ed</w:t>
      </w:r>
    </w:p>
    <w:p>
      <w:r>
        <w:t xml:space="preserve"> </w:t>
      </w:r>
    </w:p>
    <w:p>
      <w:pPr>
        <w:pStyle w:val="Heading2"/>
      </w:pPr>
      <w:r>
        <w:t>Title</w:t>
      </w:r>
    </w:p>
    <w:p>
      <w:r>
        <w:t>Predictive performance of anion gap and albumin-corrected anion gap for elevated serum lactate in adult emergency department patients with sepsis without shock using ROC and multivariable analysis</w:t>
      </w:r>
    </w:p>
    <w:p>
      <w:r>
        <w:t xml:space="preserve"> </w:t>
      </w:r>
    </w:p>
    <w:p>
      <w:pPr>
        <w:pStyle w:val="Heading2"/>
      </w:pPr>
      <w:r>
        <w:t>Short Hypothesis</w:t>
      </w:r>
    </w:p>
    <w:p>
      <w:r>
        <w:t>Higher anion gap (AG) and higher albumin-corrected anion gap (ACAG) measured at ED presentation cause an increased probability of serum lactate ≥2 mmol/L in adult patients with sepsis without shock, independent of age, renal function, diabetes, albumin, and bicarbonate.</w:t>
      </w:r>
    </w:p>
    <w:p>
      <w:r>
        <w:t xml:space="preserve"> </w:t>
      </w:r>
    </w:p>
    <w:p>
      <w:pPr>
        <w:pStyle w:val="Heading2"/>
      </w:pPr>
      <w:r>
        <w:t>Related Work</w:t>
      </w:r>
    </w:p>
    <w:p>
      <w:r>
        <w:t>Prior studies report that elevated AG values (for example AG &gt;18 mEq/L) are associated with higher serum lactate in sepsis patients and that correcting AG for albumin (ACAG) improves discrimination. Existing approaches mainly used small or mixed cohorts that included patients with and without shock, lacked standardized handling of lactate specimen types (arterial vs venous vs point-of-care), and often did not harmonize albumin assays across sites. Many reports used unadjusted or minimally adjusted analyses and relied on Youden-derived cutoffs without targeting high negative predictive value (NPV) for triage. External validation, calibration reporting (how close predicted probabilities are to observed outcomes), and prespecified handling of missing data are infrequent. These limitations leave uncertainty about which AG measure (raw AG vs ACAG) is most robust for ruling out elevated lactate in non-shock ED sepsis and how thresholds generalize across labs and devices.</w:t>
      </w:r>
    </w:p>
    <w:p>
      <w:r>
        <w:t xml:space="preserve"> </w:t>
      </w:r>
    </w:p>
    <w:p>
      <w:pPr>
        <w:pStyle w:val="Heading2"/>
      </w:pPr>
      <w:r>
        <w:t>Abstract</w:t>
      </w:r>
    </w:p>
    <w:p>
      <w:r>
        <w:t>Problem: Emergency departments need fast, low-cost ways to identify sepsis patients who likely have elevated serum lactate, since lactate guides early resuscitation. Approach: We will use retrospective ED clinical and laboratory records to evaluate whether anion gap (AG) and albumin-corrected anion gap (ACAG) measured at presentation predict serum lactate ≥2 mmol/L and ≥4 mmol/L in adults with sepsis who are not in shock. We will compute AG and ACAG uniformly, compare their discriminatory performance with area under the receiver operating characteristic curve (AUC), and fit multivariable logistic regression models adjusted for key confounders. Main contribution: The study will (1) quantify and compare AG and ACAG predictive accuracy, (2) derive and report prespecified cutoffs optimized both for overall discrimination and for high negative predictive value suitable for triage, and (3) report calibration and internal validation to support clinical use. Expected outcome: Clear, validated AG/ACAG thresholds and performance statistics that inform whether AG or ACAG can be used as a rapid bedside trigger for prioritized lactate testing in sepsis without shock.</w:t>
      </w:r>
    </w:p>
    <w:p>
      <w:r>
        <w:t xml:space="preserve"> </w:t>
      </w:r>
    </w:p>
    <w:p>
      <w:pPr>
        <w:pStyle w:val="Heading2"/>
      </w:pPr>
      <w:r>
        <w:t>Experiments</w:t>
      </w:r>
    </w:p>
    <w:p>
      <w:r>
        <w:t>Datasets: Retrospective ED dataset of adults (&gt;=18 years) meeting Sepsis-3 criteria for sepsis, not in shock at presentation, with AG components and serum lactate measured within 1 hour of triage. Target sample size: 500–800 patients with expected lactate &gt;=2 mmol/L prevalence 20–30%. Extract timestamps, instrument/method metadata, specimen type (arterial, venous, POC), and albumin assay method. Baselines: (A) null clinical model with covariates age, sex, creatinine (renal function), diabetes, albumin, bicarbonate; (B) null model + AG; (C) null model + ACAG; (D) penalized model (lasso) including AG, albumin, bicarbonate and interactions. Evaluation metrics: AUC (area under ROC; ROC = plot of sensitivity vs 1-specificity), sensitivity, specificity, positive predictive value (PPV), negative predictive value (NPV), calibration-in-the-large (difference between predicted and observed mean), calibration slope, calibration plot, Brier score (mean squared error of predicted probabilities), decision-curve analysis (net clinical benefit across thresholds). Statistical tests: DeLong test for AUC differences. Model fitting: multivariable logistic regression and penalized logistic regression (lasso) to handle collinearity. Validation: internal 5-fold cross-validation and 1000 bootstrap resamples for optimism correction. Missing data: multiple imputation by chained equations (MICE) if &lt;40% missing for a variable; report imputation model and diagnostics. Sensitivity analyses: exclude patients with DKA, toxic alcohol ingestion, ESRD on dialysis; analyze arterial vs venous vs POC lactate differences with Bland-Altman limits-of-agreement (LOA) analysis and, if bias present, perform stratified models. Threshold analyses: derive Youden-optimal cutoffs and separate cutoffs optimized for high NPV (rule-out) using prespecified NPV target (e.g., NPV &gt;= 95%); compare clinical consequences (false negatives) by decision-curve analysis. Ablation studies: (1) compare models using AG alone vs ACAG alone vs AG+albumin (to assess whether correcting for albumin as a combined metric is superior to adding albumin as a covariate); (2) compare uncorrected vs lab-harmonized albumin methods; (3) evaluate model performance after removing bicarbonate to test collinearity effects. Reporting: provide full model coefficients, calibration plots, Brier, decision-curve, and code for reproducibility.</w:t>
      </w:r>
    </w:p>
    <w:p>
      <w:r>
        <w:t xml:space="preserve"> </w:t>
      </w:r>
    </w:p>
    <w:p>
      <w:pPr>
        <w:pStyle w:val="Heading2"/>
      </w:pPr>
      <w:r>
        <w:t>Risk Factors And Limitations</w:t>
      </w:r>
    </w:p>
    <w:p>
      <w:r>
        <w:t>Confounding: residual confounding from unmeasured illness severity or treatments could bias associations. Collinearity: strong correlation between AG, albumin, and bicarbonate may destabilize coefficients and require penalization or variable selection. Assay and pre-analytic variability: differences in albumin assay methods, sodium/chloride measurement platforms, and lactate specimen type (arterial/venous/POC) can create measurement bias and limit generalizability. Missing data: non-random missingness (MNAR) in albumin or lactate could invalidate imputation and bias results. Event rate and power: lower-than-expected prevalence of elevated lactate will reduce precision for subgroup analyses. Selection bias: retrospective ED cohort may not represent other hospitals or low-resource settings. Model transportability: thresholds derived here may not hold across centers without harmonization. Clinical risk: if used for triage, false negatives (missed elevated lactate) could delay care; this study does not implement clinical safety monitoring within retrospective analysis. Computational limitations: none significant, but external validation requires additional sites with comparable lab metadata.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