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triherbal_antithromboinflammation_dm</w:t>
      </w:r>
    </w:p>
    <w:p>
      <w:r>
        <w:t xml:space="preserve"> </w:t>
      </w:r>
    </w:p>
    <w:p>
      <w:pPr>
        <w:pStyle w:val="Heading2"/>
      </w:pPr>
      <w:r>
        <w:t>Title</w:t>
      </w:r>
    </w:p>
    <w:p>
      <w:r>
        <w:t>Effects of a 1:1:1 blended aqueous extract of Moringa oleifera, Ocimum gratissimum, and Vernonia amygdalina on thromboinflammatory blood markers in streptozotocin-induced diabetic rats</w:t>
      </w:r>
    </w:p>
    <w:p>
      <w:r>
        <w:t xml:space="preserve"> </w:t>
      </w:r>
    </w:p>
    <w:p>
      <w:pPr>
        <w:pStyle w:val="Heading2"/>
      </w:pPr>
      <w:r>
        <w:t>Short Hypothesis</w:t>
      </w:r>
    </w:p>
    <w:p>
      <w:r>
        <w:t>Oral treatment with a 1:1:1 blended aqueous extract (150 mg/kg/day) of Moringa oleifera, Ocimum gratissimum, and Vernonia amygdalina for 28 days will decrease thrombin generation, platelet reactivity, proinflammatory cytokines, and circulating neutrophil extracellular traps (NETs) in streptozotocin-induced diabetic rats compared with vehicle-treated diabetic controls.</w:t>
      </w:r>
    </w:p>
    <w:p>
      <w:r>
        <w:t xml:space="preserve"> </w:t>
      </w:r>
    </w:p>
    <w:p>
      <w:pPr>
        <w:pStyle w:val="Heading2"/>
      </w:pPr>
      <w:r>
        <w:t>Related Work</w:t>
      </w:r>
    </w:p>
    <w:p>
      <w:r>
        <w:t>Existing preclinical studies have tested single herbal extracts or unstandardized blends for antithrombotic or antiinflammatory effects in metabolic disease models. Prior approaches often lack chemical standardization (no stable quantitative markers), omit pharmacokinetic (PK) measurements, and use small groups without mechanistic readouts such as thrombin generation or NET quantification. Some studies report reductions in coagulation times or cytokines but do not link exposure to effect, do not profile metabolites, and rarely compare blended versus individual plant effects. Limitations include inconsistent extraction methods, absence of validated marker assays (making batch-to-batch comparison hard), no fractionation to localize active fractions, limited platelet-function or in vivo thrombosis endpoints, and poor reagent validation for rat immune assays. These gaps reduce reproducibility and make translation to clinical dosing uncertain.</w:t>
      </w:r>
    </w:p>
    <w:p>
      <w:r>
        <w:t xml:space="preserve"> </w:t>
      </w:r>
    </w:p>
    <w:p>
      <w:pPr>
        <w:pStyle w:val="Heading2"/>
      </w:pPr>
      <w:r>
        <w:t>Abstract</w:t>
      </w:r>
    </w:p>
    <w:p>
      <w:r>
        <w:t>Diabetes increases blood clotting and inflammation together, a condition termed thromboinflammation, which raises vascular risk. We will test whether a 1:1:1 blended aqueous extract of Moringa oleifera, Ocimum gratissimum, and Vernonia amygdalina given orally at 150 mg/kg/day for 28 days reduces thromboinflammatory markers in streptozotocin-induced diabetic rats. The study integrates extract standardization, acute toxicity screening, pharmacokinetic marker quantitation, and functional hemostasis and immunology assays. Primary outcomes are thrombin generation (a measure of clotting potential), platelet reactivity, circulating cytokines, and NETs (neutrophil extracellular traps; web-like DNA–protein complexes released by neutrophils). Secondary outcomes include in vivo thrombosis (FeCl3 carotid model) and correlation of chemical marker exposure with biological effects. The main contribution is a reproducible, marker-guided preclinical evaluation that links standardized extract chemistry and PK to mechanistic thromboinflammatory endpoints. Expected impact: provide reproducible efficacy and exposure–response data to support further mechanistic studies and inform translational development.</w:t>
      </w:r>
    </w:p>
    <w:p>
      <w:r>
        <w:t xml:space="preserve"> </w:t>
      </w:r>
    </w:p>
    <w:p>
      <w:pPr>
        <w:pStyle w:val="Heading2"/>
      </w:pPr>
      <w:r>
        <w:t>Experiments</w:t>
      </w:r>
    </w:p>
    <w:p>
      <w:r>
        <w:t>Datasets: Experimental animal data generated in this study. Groups: non-diabetic vehicle (n=10), diabetic vehicle (n=10), diabetic + blended extract 150 mg/kg/day (n=10), diabetic + individual extracts (Moringa, Ocimum, Vernonia each 150 mg/kg/day; n=10 each), diabetic + positive control (aspirin 10 mg/kg/day; n=10). Acute toxicity: Lorke method in separate sentinel animals (stepwise doses) to confirm tolerability. Baselines: confirm hyperglycemia after streptozotocin (STZ) induction. Dosing: oral gavage once daily for 28 days. PK sampling (marker compounds): sparse microsampling per animal at 0 (pre-dose), 0.5, 1, 2, 4, 8 h after first dose (micro-samples) and trough on day 28; validate microsampling volumes to keep cumulative blood &lt;10% total. Analytical assays: UHPLC‑MS/MS quantitation of 2–4 selected chemical markers (validated per ICH Q2: linearity, LLOQ, accuracy, precision, matrix effects); PT/aPTT by coagulometer; thrombin generation assay (calibrated automated thrombogram) reporting lag time, peak thrombin, and endogenous thrombin potential (ETP); platelet light transmission aggregometry using ADP (5 µM) and collagen (2 µg/mL); flow cytometry for platelet activation (P‑selectin, activated GPIIb/IIIa) and platelet–leukocyte aggregates; cytokine multiplex or ELISAs for IL‑6, TNF‑α, IL‑1β, CRP, PAI‑1; NET assays: MPO‑DNA capture ELISA and citrullinated histone H3 (citH3) ELISA; in vivo thrombosis: FeCl3-induced carotid artery model with time-to-occlusion measured by Doppler; histology/IHC for fibrin, vWF, MPO, citH3. Baselines and repeat measures: collect matched citrate (coagulation), EDTA (cytokines), and serum; store at −80°C. Baselines collected pre-STZ and pre-treatment. Evaluation metrics: primary metrics = change from baseline in ETP, peak thrombin, platelet aggregation (% max), IL‑6 concentration (pg/mL), MPO‑DNA units; secondary metrics = PT/aPTT, time-to-occlusion (seconds), histological thrombus area, PK Cmax, AUC0–8h for markers. Statistical analysis: mixed-effects repeated-measures models with group, time, and group×time interaction; fixed α=0.05; adjust multiplicity by Benjamini–Hochberg FDR for primary endpoints. Baselines for comparison: vehicle diabetic and non-diabetic controls; positive control (aspirin). Comparison/ablation studies: (1) blended extract vs each individual extract at same dose to test synergy; (2) marker-normalized dosing: a sub-arm where blended dose is adjusted to equal marker content of one individual extract to test dose-normalization effect; (3) fractionation ablation: test active polarity fraction vs crude blend (n=8 each) to assess if activity concentrates in one fraction. Power: n=10 yields ~80% power to detect 25% change in primary endpoints assuming moderate variance (pilot variances to be recorded). Data handling: blinded outcome assessment, centralized database, pre-registered SAP, and pre-specified primary endpoints.</w:t>
      </w:r>
    </w:p>
    <w:p>
      <w:r>
        <w:t xml:space="preserve"> </w:t>
      </w:r>
    </w:p>
    <w:p>
      <w:pPr>
        <w:pStyle w:val="Heading2"/>
      </w:pPr>
      <w:r>
        <w:t>Risk Factors And Limitations</w:t>
      </w:r>
    </w:p>
    <w:p>
      <w:r>
        <w:t>Technical failures: selected chemical markers may be unstable or not detectable in plasma (low bioavailability); LC‑MS method LLOQ may be insufficient. Reagent risks: rat‑validated antibodies or ELISA kits for NETs and some cytokines may be unavailable or cross-react poorly. Assay variability: thrombin generation and platelet aggregometry can be variable across operators and require tight QC. Sampling limits: small blood volume per rat constrains PK/PD time resolution and number of assays per sample. Biological variability: STZ model heterogeneity (variable hyperglycemia) may increase variance and reduce power. Translational limits: rat results may not predict human pharmacokinetics or efficacy due to metabolism differences (phase I/II). Regulatory limitations: non-GLP preclinical assays may not meet later regulatory study requirements. Statistical risks: multiple endpoints increase false positive chance if not properly controlled. Resource limits: UHPLC‑MS/MS quantitation, assay validation, and fractionation/isolation require specialized equipment and skilled personnel which may limit scalability.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